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03B2A" w14:textId="77777777" w:rsidR="00D11493" w:rsidRPr="008576AA" w:rsidRDefault="00D11493" w:rsidP="00D11493">
      <w:pPr>
        <w:pStyle w:val="SOPLevel1"/>
      </w:pPr>
      <w:r w:rsidRPr="008576AA">
        <w:t>PURPOSE</w:t>
      </w:r>
    </w:p>
    <w:p w14:paraId="64EA984A" w14:textId="35392E48" w:rsidR="00D11493" w:rsidRDefault="00D11493" w:rsidP="00D11493">
      <w:pPr>
        <w:pStyle w:val="SOPLevel2"/>
      </w:pPr>
      <w:r>
        <w:t xml:space="preserve">This </w:t>
      </w:r>
      <w:r w:rsidR="00173091">
        <w:t>guidance</w:t>
      </w:r>
      <w:r>
        <w:t xml:space="preserve"> establishes the </w:t>
      </w:r>
      <w:r w:rsidR="00173091">
        <w:t>University at Buffalo definition of a case report and the review required</w:t>
      </w:r>
      <w:r w:rsidRPr="002930C8">
        <w:rPr>
          <w:u w:val="double"/>
        </w:rPr>
        <w:t>.</w:t>
      </w:r>
    </w:p>
    <w:p w14:paraId="16E14D84" w14:textId="7A464ECC" w:rsidR="00D11493" w:rsidRDefault="00D11493" w:rsidP="00D11493">
      <w:pPr>
        <w:pStyle w:val="SOPLevel2"/>
      </w:pPr>
      <w:r>
        <w:t xml:space="preserve">The process begins when the </w:t>
      </w:r>
      <w:r w:rsidR="00233095" w:rsidRPr="00157280">
        <w:t>principal investigator</w:t>
      </w:r>
      <w:r w:rsidR="00157280">
        <w:t xml:space="preserve"> (PI)</w:t>
      </w:r>
      <w:r w:rsidR="00A06236">
        <w:t xml:space="preserve"> </w:t>
      </w:r>
      <w:r w:rsidR="00173091">
        <w:t>meets the requirements of the definition of a case report</w:t>
      </w:r>
    </w:p>
    <w:p w14:paraId="5C677361" w14:textId="0C1D5F2D" w:rsidR="00D11493" w:rsidRDefault="00D11493" w:rsidP="00D11493">
      <w:pPr>
        <w:pStyle w:val="SOPLevel2"/>
      </w:pPr>
      <w:r>
        <w:t xml:space="preserve">The process ends when </w:t>
      </w:r>
      <w:r w:rsidR="00173091">
        <w:t>the case report is accepted for publication</w:t>
      </w:r>
      <w:r>
        <w:t>.</w:t>
      </w:r>
    </w:p>
    <w:p w14:paraId="07C23372" w14:textId="77777777" w:rsidR="00D11493" w:rsidRPr="008576AA" w:rsidRDefault="00D11493" w:rsidP="00D11493">
      <w:pPr>
        <w:pStyle w:val="SOPLevel1"/>
      </w:pPr>
      <w:r w:rsidRPr="008576AA">
        <w:t>REVISIONS FROM PREVIOUS VERSION</w:t>
      </w:r>
    </w:p>
    <w:tbl>
      <w:tblPr>
        <w:tblStyle w:val="TableGrid"/>
        <w:tblW w:w="0" w:type="auto"/>
        <w:jc w:val="center"/>
        <w:tblLook w:val="04A0" w:firstRow="1" w:lastRow="0" w:firstColumn="1" w:lastColumn="0" w:noHBand="0" w:noVBand="1"/>
      </w:tblPr>
      <w:tblGrid>
        <w:gridCol w:w="818"/>
        <w:gridCol w:w="1037"/>
        <w:gridCol w:w="3143"/>
      </w:tblGrid>
      <w:tr w:rsidR="00464587" w:rsidRPr="00C85789" w14:paraId="3182B1A2" w14:textId="77777777" w:rsidTr="00A00585">
        <w:trPr>
          <w:jc w:val="center"/>
        </w:trPr>
        <w:tc>
          <w:tcPr>
            <w:tcW w:w="0" w:type="auto"/>
          </w:tcPr>
          <w:p w14:paraId="5BAC93C3" w14:textId="77777777" w:rsidR="00464587" w:rsidRPr="00464587" w:rsidRDefault="00464587" w:rsidP="00A00585">
            <w:pPr>
              <w:jc w:val="center"/>
              <w:rPr>
                <w:rFonts w:ascii="Arial Narrow" w:hAnsi="Arial Narrow" w:cs="Calibri"/>
                <w:b/>
                <w:sz w:val="20"/>
                <w:szCs w:val="20"/>
              </w:rPr>
            </w:pPr>
            <w:r w:rsidRPr="00464587">
              <w:rPr>
                <w:rFonts w:ascii="Arial Narrow" w:hAnsi="Arial Narrow" w:cs="Calibri"/>
                <w:b/>
                <w:sz w:val="20"/>
                <w:szCs w:val="20"/>
              </w:rPr>
              <w:t>Version</w:t>
            </w:r>
          </w:p>
        </w:tc>
        <w:tc>
          <w:tcPr>
            <w:tcW w:w="0" w:type="auto"/>
          </w:tcPr>
          <w:p w14:paraId="06AD970E" w14:textId="77777777" w:rsidR="00464587" w:rsidRPr="00464587" w:rsidRDefault="00464587" w:rsidP="00A00585">
            <w:pPr>
              <w:jc w:val="center"/>
              <w:rPr>
                <w:rFonts w:ascii="Arial Narrow" w:hAnsi="Arial Narrow" w:cs="Calibri"/>
                <w:b/>
                <w:sz w:val="20"/>
                <w:szCs w:val="20"/>
              </w:rPr>
            </w:pPr>
            <w:r w:rsidRPr="00464587">
              <w:rPr>
                <w:rFonts w:ascii="Arial Narrow" w:hAnsi="Arial Narrow" w:cs="Calibri"/>
                <w:b/>
                <w:sz w:val="20"/>
                <w:szCs w:val="20"/>
              </w:rPr>
              <w:t>Date</w:t>
            </w:r>
          </w:p>
        </w:tc>
        <w:tc>
          <w:tcPr>
            <w:tcW w:w="0" w:type="auto"/>
          </w:tcPr>
          <w:p w14:paraId="4C88A730" w14:textId="77777777" w:rsidR="00464587" w:rsidRPr="00464587" w:rsidRDefault="00464587" w:rsidP="00A00585">
            <w:pPr>
              <w:jc w:val="center"/>
              <w:rPr>
                <w:rFonts w:ascii="Arial Narrow" w:hAnsi="Arial Narrow" w:cs="Calibri"/>
                <w:b/>
                <w:sz w:val="20"/>
                <w:szCs w:val="20"/>
              </w:rPr>
            </w:pPr>
            <w:r w:rsidRPr="00464587">
              <w:rPr>
                <w:rFonts w:ascii="Arial Narrow" w:hAnsi="Arial Narrow" w:cs="Calibri"/>
                <w:b/>
                <w:sz w:val="20"/>
                <w:szCs w:val="20"/>
              </w:rPr>
              <w:t>Revisions</w:t>
            </w:r>
          </w:p>
        </w:tc>
      </w:tr>
      <w:tr w:rsidR="00464587" w:rsidRPr="00C85789" w14:paraId="1CD066A8" w14:textId="77777777" w:rsidTr="00A00585">
        <w:trPr>
          <w:jc w:val="center"/>
        </w:trPr>
        <w:tc>
          <w:tcPr>
            <w:tcW w:w="0" w:type="auto"/>
          </w:tcPr>
          <w:p w14:paraId="7DE55B7B" w14:textId="77777777" w:rsidR="00464587" w:rsidRPr="00464587" w:rsidRDefault="00464587" w:rsidP="00A00585">
            <w:pPr>
              <w:jc w:val="center"/>
              <w:rPr>
                <w:rFonts w:ascii="Arial Narrow" w:hAnsi="Arial Narrow" w:cs="Calibri"/>
                <w:sz w:val="20"/>
                <w:szCs w:val="20"/>
              </w:rPr>
            </w:pPr>
            <w:r w:rsidRPr="00464587">
              <w:rPr>
                <w:rFonts w:ascii="Arial Narrow" w:hAnsi="Arial Narrow" w:cs="Calibri"/>
                <w:sz w:val="20"/>
                <w:szCs w:val="20"/>
              </w:rPr>
              <w:t>R00</w:t>
            </w:r>
          </w:p>
        </w:tc>
        <w:tc>
          <w:tcPr>
            <w:tcW w:w="0" w:type="auto"/>
          </w:tcPr>
          <w:p w14:paraId="62F37066" w14:textId="7ECE71CB" w:rsidR="00464587" w:rsidRPr="00464587" w:rsidRDefault="00464587" w:rsidP="00A00585">
            <w:pPr>
              <w:jc w:val="center"/>
              <w:rPr>
                <w:rFonts w:ascii="Arial Narrow" w:hAnsi="Arial Narrow" w:cs="Calibri"/>
                <w:sz w:val="20"/>
                <w:szCs w:val="20"/>
              </w:rPr>
            </w:pPr>
            <w:r w:rsidRPr="00464587">
              <w:rPr>
                <w:rFonts w:ascii="Arial Narrow" w:hAnsi="Arial Narrow" w:cs="Calibri"/>
                <w:sz w:val="20"/>
                <w:szCs w:val="20"/>
              </w:rPr>
              <w:t>12/4/2020</w:t>
            </w:r>
          </w:p>
        </w:tc>
        <w:tc>
          <w:tcPr>
            <w:tcW w:w="0" w:type="auto"/>
          </w:tcPr>
          <w:p w14:paraId="302BD67E" w14:textId="77777777" w:rsidR="00464587" w:rsidRPr="00464587" w:rsidRDefault="00464587" w:rsidP="00A00585">
            <w:pPr>
              <w:jc w:val="center"/>
              <w:rPr>
                <w:rFonts w:ascii="Arial Narrow" w:hAnsi="Arial Narrow" w:cs="Calibri"/>
                <w:sz w:val="20"/>
                <w:szCs w:val="20"/>
              </w:rPr>
            </w:pPr>
            <w:r w:rsidRPr="00464587">
              <w:rPr>
                <w:rFonts w:ascii="Arial Narrow" w:hAnsi="Arial Narrow" w:cs="Calibri"/>
                <w:sz w:val="20"/>
                <w:szCs w:val="20"/>
              </w:rPr>
              <w:t>Original issue</w:t>
            </w:r>
          </w:p>
        </w:tc>
      </w:tr>
      <w:tr w:rsidR="00464587" w14:paraId="34A10186" w14:textId="77777777" w:rsidTr="00A00585">
        <w:trPr>
          <w:jc w:val="center"/>
        </w:trPr>
        <w:tc>
          <w:tcPr>
            <w:tcW w:w="0" w:type="auto"/>
          </w:tcPr>
          <w:p w14:paraId="01FF0E6E" w14:textId="709E28A1" w:rsidR="00464587" w:rsidRPr="00464587" w:rsidRDefault="00464587" w:rsidP="00A00585">
            <w:pPr>
              <w:jc w:val="center"/>
              <w:rPr>
                <w:rFonts w:ascii="Arial Narrow" w:hAnsi="Arial Narrow" w:cs="Calibri"/>
                <w:sz w:val="20"/>
                <w:szCs w:val="20"/>
              </w:rPr>
            </w:pPr>
            <w:r w:rsidRPr="00464587">
              <w:rPr>
                <w:rFonts w:ascii="Arial Narrow" w:hAnsi="Arial Narrow" w:cs="Calibri"/>
                <w:sz w:val="20"/>
                <w:szCs w:val="20"/>
              </w:rPr>
              <w:t>R01</w:t>
            </w:r>
          </w:p>
        </w:tc>
        <w:tc>
          <w:tcPr>
            <w:tcW w:w="0" w:type="auto"/>
          </w:tcPr>
          <w:p w14:paraId="30D94BCF" w14:textId="748609F0" w:rsidR="00464587" w:rsidRPr="00464587" w:rsidRDefault="00464587" w:rsidP="00A00585">
            <w:pPr>
              <w:jc w:val="center"/>
              <w:rPr>
                <w:rFonts w:ascii="Arial Narrow" w:hAnsi="Arial Narrow" w:cs="Calibri"/>
                <w:sz w:val="20"/>
                <w:szCs w:val="20"/>
              </w:rPr>
            </w:pPr>
            <w:r w:rsidRPr="00464587">
              <w:rPr>
                <w:rFonts w:ascii="Arial Narrow" w:hAnsi="Arial Narrow" w:cs="Calibri"/>
                <w:sz w:val="20"/>
                <w:szCs w:val="20"/>
              </w:rPr>
              <w:t>12/17/2020</w:t>
            </w:r>
          </w:p>
        </w:tc>
        <w:tc>
          <w:tcPr>
            <w:tcW w:w="0" w:type="auto"/>
          </w:tcPr>
          <w:p w14:paraId="1B3E005F" w14:textId="00EF6416" w:rsidR="00464587" w:rsidRPr="00464587" w:rsidRDefault="00464587" w:rsidP="00464587">
            <w:pPr>
              <w:rPr>
                <w:sz w:val="20"/>
                <w:szCs w:val="20"/>
              </w:rPr>
            </w:pPr>
            <w:r w:rsidRPr="00464587">
              <w:rPr>
                <w:rFonts w:ascii="Arial Narrow" w:hAnsi="Arial Narrow"/>
                <w:sz w:val="20"/>
                <w:szCs w:val="20"/>
              </w:rPr>
              <w:t>Annual review, correct typo, update logo</w:t>
            </w:r>
          </w:p>
        </w:tc>
      </w:tr>
      <w:tr w:rsidR="00FA7CD3" w14:paraId="12400B21" w14:textId="77777777" w:rsidTr="00A00585">
        <w:trPr>
          <w:jc w:val="center"/>
        </w:trPr>
        <w:tc>
          <w:tcPr>
            <w:tcW w:w="0" w:type="auto"/>
          </w:tcPr>
          <w:p w14:paraId="6921D6F1" w14:textId="0319362E" w:rsidR="00FA7CD3" w:rsidRPr="00464587" w:rsidRDefault="00FA7CD3" w:rsidP="00FA7CD3">
            <w:pPr>
              <w:jc w:val="center"/>
              <w:rPr>
                <w:rFonts w:ascii="Arial Narrow" w:hAnsi="Arial Narrow" w:cs="Calibri"/>
                <w:sz w:val="20"/>
                <w:szCs w:val="20"/>
              </w:rPr>
            </w:pPr>
            <w:r w:rsidRPr="00464587">
              <w:rPr>
                <w:rFonts w:ascii="Arial Narrow" w:hAnsi="Arial Narrow" w:cs="Calibri"/>
                <w:sz w:val="20"/>
                <w:szCs w:val="20"/>
              </w:rPr>
              <w:t>R01</w:t>
            </w:r>
          </w:p>
        </w:tc>
        <w:tc>
          <w:tcPr>
            <w:tcW w:w="0" w:type="auto"/>
          </w:tcPr>
          <w:p w14:paraId="523FD469" w14:textId="759BE173" w:rsidR="00FA7CD3" w:rsidRPr="00464587" w:rsidRDefault="00FA7CD3" w:rsidP="00FA7CD3">
            <w:pPr>
              <w:jc w:val="center"/>
              <w:rPr>
                <w:rFonts w:ascii="Arial Narrow" w:hAnsi="Arial Narrow" w:cs="Calibri"/>
                <w:sz w:val="20"/>
                <w:szCs w:val="20"/>
              </w:rPr>
            </w:pPr>
            <w:r>
              <w:rPr>
                <w:rFonts w:ascii="Arial Narrow" w:hAnsi="Arial Narrow" w:cs="Calibri"/>
                <w:sz w:val="20"/>
                <w:szCs w:val="20"/>
              </w:rPr>
              <w:t>10/8/21</w:t>
            </w:r>
          </w:p>
        </w:tc>
        <w:tc>
          <w:tcPr>
            <w:tcW w:w="0" w:type="auto"/>
          </w:tcPr>
          <w:p w14:paraId="75C49975" w14:textId="2B845B52" w:rsidR="00FA7CD3" w:rsidRPr="00464587" w:rsidRDefault="00FA7CD3" w:rsidP="00FA7CD3">
            <w:pPr>
              <w:jc w:val="center"/>
              <w:rPr>
                <w:rFonts w:ascii="Arial Narrow" w:hAnsi="Arial Narrow"/>
                <w:sz w:val="20"/>
                <w:szCs w:val="20"/>
              </w:rPr>
            </w:pPr>
            <w:r>
              <w:rPr>
                <w:rFonts w:ascii="Arial Narrow" w:hAnsi="Arial Narrow"/>
                <w:sz w:val="20"/>
                <w:szCs w:val="20"/>
              </w:rPr>
              <w:t>Annual review, no changes</w:t>
            </w:r>
          </w:p>
        </w:tc>
        <w:bookmarkStart w:id="0" w:name="_GoBack"/>
        <w:bookmarkEnd w:id="0"/>
      </w:tr>
      <w:tr w:rsidR="00BB2C7C" w14:paraId="2A1B2A25" w14:textId="77777777" w:rsidTr="00A00585">
        <w:trPr>
          <w:jc w:val="center"/>
        </w:trPr>
        <w:tc>
          <w:tcPr>
            <w:tcW w:w="0" w:type="auto"/>
          </w:tcPr>
          <w:p w14:paraId="07FD2FF1" w14:textId="06839758" w:rsidR="00BB2C7C" w:rsidRPr="00464587" w:rsidRDefault="00BB2C7C" w:rsidP="00BB2C7C">
            <w:pPr>
              <w:jc w:val="center"/>
              <w:rPr>
                <w:rFonts w:ascii="Arial Narrow" w:hAnsi="Arial Narrow" w:cs="Calibri"/>
                <w:sz w:val="20"/>
                <w:szCs w:val="20"/>
              </w:rPr>
            </w:pPr>
            <w:r w:rsidRPr="00464587">
              <w:rPr>
                <w:rFonts w:ascii="Arial Narrow" w:hAnsi="Arial Narrow" w:cs="Calibri"/>
                <w:sz w:val="20"/>
                <w:szCs w:val="20"/>
              </w:rPr>
              <w:t>R01</w:t>
            </w:r>
          </w:p>
        </w:tc>
        <w:tc>
          <w:tcPr>
            <w:tcW w:w="0" w:type="auto"/>
          </w:tcPr>
          <w:p w14:paraId="1724D5CB" w14:textId="41A84432" w:rsidR="00BB2C7C" w:rsidRDefault="00BB2C7C" w:rsidP="00BB2C7C">
            <w:pPr>
              <w:jc w:val="center"/>
              <w:rPr>
                <w:rFonts w:ascii="Arial Narrow" w:hAnsi="Arial Narrow" w:cs="Calibri"/>
                <w:sz w:val="20"/>
                <w:szCs w:val="20"/>
              </w:rPr>
            </w:pPr>
            <w:r>
              <w:rPr>
                <w:rFonts w:ascii="Arial Narrow" w:hAnsi="Arial Narrow" w:cs="Calibri"/>
                <w:sz w:val="20"/>
                <w:szCs w:val="20"/>
              </w:rPr>
              <w:t>1</w:t>
            </w:r>
            <w:r>
              <w:rPr>
                <w:rFonts w:ascii="Arial Narrow" w:hAnsi="Arial Narrow" w:cs="Calibri"/>
                <w:sz w:val="20"/>
                <w:szCs w:val="20"/>
              </w:rPr>
              <w:t>1/14/23</w:t>
            </w:r>
          </w:p>
        </w:tc>
        <w:tc>
          <w:tcPr>
            <w:tcW w:w="0" w:type="auto"/>
          </w:tcPr>
          <w:p w14:paraId="7B2A8AC9" w14:textId="3AB00E4F" w:rsidR="00BB2C7C" w:rsidRDefault="00BB2C7C" w:rsidP="00BB2C7C">
            <w:pPr>
              <w:jc w:val="center"/>
              <w:rPr>
                <w:rFonts w:ascii="Arial Narrow" w:hAnsi="Arial Narrow"/>
                <w:sz w:val="20"/>
                <w:szCs w:val="20"/>
              </w:rPr>
            </w:pPr>
            <w:r>
              <w:rPr>
                <w:rFonts w:ascii="Arial Narrow" w:hAnsi="Arial Narrow"/>
                <w:sz w:val="20"/>
                <w:szCs w:val="20"/>
              </w:rPr>
              <w:t>Annual review, no changes</w:t>
            </w:r>
          </w:p>
        </w:tc>
      </w:tr>
    </w:tbl>
    <w:p w14:paraId="67A60EE8" w14:textId="7E7C4BE2" w:rsidR="00D11493" w:rsidRPr="008576AA" w:rsidRDefault="00D11493" w:rsidP="00D11493">
      <w:pPr>
        <w:pStyle w:val="SOPLevel1"/>
      </w:pPr>
      <w:r w:rsidRPr="008576AA">
        <w:t>POLICY</w:t>
      </w:r>
    </w:p>
    <w:p w14:paraId="6896D756" w14:textId="30180FEF" w:rsidR="00D11493" w:rsidRPr="00173091" w:rsidRDefault="00D11493" w:rsidP="00D11493">
      <w:pPr>
        <w:pStyle w:val="SOPLevel2"/>
        <w:rPr>
          <w:rFonts w:cs="Arial"/>
        </w:rPr>
      </w:pPr>
      <w:r>
        <w:t xml:space="preserve">The </w:t>
      </w:r>
      <w:r w:rsidR="00E277A0" w:rsidRPr="00157280">
        <w:t>UB IRB</w:t>
      </w:r>
      <w:r w:rsidR="00E277A0">
        <w:rPr>
          <w:u w:val="double"/>
        </w:rPr>
        <w:t xml:space="preserve"> </w:t>
      </w:r>
      <w:r w:rsidR="00173091">
        <w:t>defines a case report as</w:t>
      </w:r>
      <w:r w:rsidR="00173091" w:rsidRPr="00173091">
        <w:rPr>
          <w:rFonts w:cs="Arial"/>
        </w:rPr>
        <w:t xml:space="preserve"> a retrospective analysis of one, two, or three clinical cases.</w:t>
      </w:r>
    </w:p>
    <w:p w14:paraId="65391082" w14:textId="5BD1FEB1" w:rsidR="00173091" w:rsidRDefault="00173091" w:rsidP="00173091">
      <w:pPr>
        <w:pStyle w:val="SOPLevel2"/>
      </w:pPr>
      <w:r w:rsidRPr="00E6043F">
        <w:t>If more than three cases are involved in the analytical activity, the activity will constitute “research.”</w:t>
      </w:r>
    </w:p>
    <w:p w14:paraId="514874BC" w14:textId="77777777" w:rsidR="005D0386" w:rsidRDefault="00173091" w:rsidP="005D0386">
      <w:pPr>
        <w:pStyle w:val="SOPLevel2"/>
        <w:rPr>
          <w:rFonts w:cs="Arial"/>
        </w:rPr>
      </w:pPr>
      <w:r w:rsidRPr="00173091">
        <w:rPr>
          <w:rFonts w:cs="Arial"/>
        </w:rPr>
        <w:t>A case report is a medical/educational activity that does not meet the DHHS definition of “research”, which is: "a systematic investigation, including research development, testing and evaluation, designed to develop or contribute to generalizable knowledge."  Therefore, the activity </w:t>
      </w:r>
      <w:r w:rsidRPr="00173091">
        <w:rPr>
          <w:rFonts w:cs="Arial"/>
          <w:u w:val="single"/>
          <w:bdr w:val="none" w:sz="0" w:space="0" w:color="auto" w:frame="1"/>
        </w:rPr>
        <w:t>does not</w:t>
      </w:r>
      <w:r w:rsidRPr="00173091">
        <w:rPr>
          <w:rFonts w:cs="Arial"/>
        </w:rPr>
        <w:t> have to be reviewed by the IRB.</w:t>
      </w:r>
    </w:p>
    <w:p w14:paraId="14F64F73" w14:textId="55CDBFEB" w:rsidR="005D0386" w:rsidRPr="005D0386" w:rsidRDefault="005D0386" w:rsidP="005D0386">
      <w:pPr>
        <w:pStyle w:val="SOPLevel2"/>
        <w:rPr>
          <w:rFonts w:cs="Arial"/>
        </w:rPr>
      </w:pPr>
      <w:r w:rsidRPr="005D0386">
        <w:rPr>
          <w:rFonts w:cs="Arial"/>
          <w:szCs w:val="20"/>
        </w:rPr>
        <w:t>Although IRB review and approval is not required, certain HIPAA Privacy Rule requirements apply to the use and disclosure of PHI for a case report:</w:t>
      </w:r>
    </w:p>
    <w:p w14:paraId="4852B536" w14:textId="77777777" w:rsidR="005D0386" w:rsidRPr="005D0386" w:rsidRDefault="005D0386" w:rsidP="004C1B6C">
      <w:pPr>
        <w:numPr>
          <w:ilvl w:val="0"/>
          <w:numId w:val="32"/>
        </w:numPr>
        <w:shd w:val="clear" w:color="auto" w:fill="FFFFFF"/>
        <w:autoSpaceDE/>
        <w:autoSpaceDN/>
        <w:adjustRightInd/>
        <w:ind w:left="1440"/>
        <w:textAlignment w:val="baseline"/>
        <w:rPr>
          <w:rFonts w:ascii="Arial" w:hAnsi="Arial" w:cs="Arial"/>
          <w:sz w:val="20"/>
          <w:szCs w:val="20"/>
        </w:rPr>
      </w:pPr>
      <w:r w:rsidRPr="005D0386">
        <w:rPr>
          <w:rFonts w:ascii="Arial" w:hAnsi="Arial" w:cs="Arial"/>
          <w:sz w:val="20"/>
          <w:szCs w:val="20"/>
        </w:rPr>
        <w:t>Investigators that remove HIPAA identifiers from the case report data prior to disclosure of the data (e.g., prior to submission of the case report to a journal) do not need to obtain a signed privacy authorization from the subject. </w:t>
      </w:r>
    </w:p>
    <w:p w14:paraId="27FEA891" w14:textId="77777777" w:rsidR="005D0386" w:rsidRPr="005D0386" w:rsidRDefault="005D0386" w:rsidP="004C1B6C">
      <w:pPr>
        <w:shd w:val="clear" w:color="auto" w:fill="FFFFFF"/>
        <w:spacing w:after="200"/>
        <w:ind w:left="1440"/>
        <w:textAlignment w:val="baseline"/>
        <w:rPr>
          <w:rFonts w:ascii="Arial" w:hAnsi="Arial" w:cs="Arial"/>
          <w:sz w:val="20"/>
          <w:szCs w:val="20"/>
        </w:rPr>
      </w:pPr>
      <w:r w:rsidRPr="005D0386">
        <w:rPr>
          <w:rFonts w:ascii="Arial" w:hAnsi="Arial" w:cs="Arial"/>
          <w:sz w:val="20"/>
          <w:szCs w:val="20"/>
        </w:rPr>
        <w:t>Please note that in addition to removing the 18 listed HIPAA identifiers, the investigator must determine that no photo or illustration in the case report could lead to identification of the subject(s), and that the case(s) described are not so unique as to be identifiable with reference to other public sources such as media accounts.</w:t>
      </w:r>
    </w:p>
    <w:p w14:paraId="6F95953F" w14:textId="497E4585" w:rsidR="005D0386" w:rsidRDefault="005D0386" w:rsidP="004C1B6C">
      <w:pPr>
        <w:numPr>
          <w:ilvl w:val="0"/>
          <w:numId w:val="33"/>
        </w:numPr>
        <w:shd w:val="clear" w:color="auto" w:fill="FFFFFF"/>
        <w:autoSpaceDE/>
        <w:autoSpaceDN/>
        <w:adjustRightInd/>
        <w:ind w:left="1440"/>
        <w:textAlignment w:val="baseline"/>
        <w:rPr>
          <w:rFonts w:ascii="Arial" w:hAnsi="Arial" w:cs="Arial"/>
          <w:sz w:val="20"/>
          <w:szCs w:val="20"/>
        </w:rPr>
      </w:pPr>
      <w:r w:rsidRPr="005D0386">
        <w:rPr>
          <w:rFonts w:ascii="Arial" w:hAnsi="Arial" w:cs="Arial"/>
          <w:sz w:val="20"/>
          <w:szCs w:val="20"/>
        </w:rPr>
        <w:t>Investigators who publish a case report that is not completely de-identified to the standards of the HIPAA Privacy Rule (i.e., that contains any direct or indirect identifiers), must first obtain each subject’s signed HIPAA-compliant authorization.  It is not necessary to submit this authorization form to the IRB for review. </w:t>
      </w:r>
    </w:p>
    <w:p w14:paraId="0C3DE7FF" w14:textId="5F7AE2C8" w:rsidR="008603AC" w:rsidRDefault="008603AC" w:rsidP="008603AC">
      <w:pPr>
        <w:pStyle w:val="Default"/>
        <w:rPr>
          <w:rFonts w:ascii="Arial" w:hAnsi="Arial" w:cs="Arial"/>
          <w:b/>
          <w:sz w:val="20"/>
          <w:szCs w:val="20"/>
        </w:rPr>
      </w:pPr>
      <w:r w:rsidRPr="008603AC">
        <w:rPr>
          <w:rFonts w:ascii="Arial" w:hAnsi="Arial" w:cs="Arial"/>
          <w:b/>
          <w:sz w:val="20"/>
          <w:szCs w:val="20"/>
        </w:rPr>
        <w:t>Please Note:</w:t>
      </w:r>
      <w:r>
        <w:rPr>
          <w:rFonts w:ascii="Arial" w:hAnsi="Arial" w:cs="Arial"/>
          <w:b/>
          <w:sz w:val="20"/>
          <w:szCs w:val="20"/>
        </w:rPr>
        <w:t xml:space="preserve"> If your data is collected at an institution that has its own Privacy Office, it is the responsibility of the investigator to contact the Privacy Officer of that institution to confirm that </w:t>
      </w:r>
      <w:r w:rsidR="00FF6AFD">
        <w:rPr>
          <w:rFonts w:ascii="Arial" w:hAnsi="Arial" w:cs="Arial"/>
          <w:b/>
          <w:sz w:val="20"/>
          <w:szCs w:val="20"/>
        </w:rPr>
        <w:t xml:space="preserve">all of </w:t>
      </w:r>
      <w:r>
        <w:rPr>
          <w:rFonts w:ascii="Arial" w:hAnsi="Arial" w:cs="Arial"/>
          <w:b/>
          <w:sz w:val="20"/>
          <w:szCs w:val="20"/>
        </w:rPr>
        <w:t xml:space="preserve">their regulations are met. </w:t>
      </w:r>
    </w:p>
    <w:p w14:paraId="085AF5A4" w14:textId="77777777" w:rsidR="00FF6AFD" w:rsidRPr="008603AC" w:rsidRDefault="00FF6AFD" w:rsidP="008603AC">
      <w:pPr>
        <w:pStyle w:val="Default"/>
        <w:rPr>
          <w:rFonts w:ascii="Arial" w:hAnsi="Arial" w:cs="Arial"/>
          <w:b/>
          <w:sz w:val="20"/>
          <w:szCs w:val="20"/>
        </w:rPr>
      </w:pPr>
    </w:p>
    <w:p w14:paraId="78A7C531" w14:textId="77777777" w:rsidR="005D0386" w:rsidRPr="005D0386" w:rsidRDefault="005D0386" w:rsidP="005D0386">
      <w:pPr>
        <w:tabs>
          <w:tab w:val="left" w:pos="-1080"/>
        </w:tabs>
        <w:ind w:left="720"/>
        <w:jc w:val="center"/>
        <w:rPr>
          <w:rFonts w:ascii="Arial" w:hAnsi="Arial" w:cs="Arial"/>
          <w:b/>
          <w:sz w:val="20"/>
          <w:szCs w:val="20"/>
        </w:rPr>
      </w:pPr>
      <w:r w:rsidRPr="005D0386">
        <w:rPr>
          <w:rFonts w:ascii="Arial" w:hAnsi="Arial" w:cs="Arial"/>
          <w:b/>
          <w:sz w:val="20"/>
          <w:szCs w:val="20"/>
        </w:rPr>
        <w:t>DEFINITION OF DE-IDENTIFIED DATA</w:t>
      </w:r>
    </w:p>
    <w:p w14:paraId="5744E661" w14:textId="77777777" w:rsidR="005D0386" w:rsidRPr="005D0386" w:rsidRDefault="005D0386" w:rsidP="005D0386">
      <w:pPr>
        <w:tabs>
          <w:tab w:val="left" w:pos="-1080"/>
        </w:tabs>
        <w:ind w:left="720"/>
        <w:jc w:val="center"/>
        <w:rPr>
          <w:rFonts w:ascii="Arial" w:hAnsi="Arial" w:cs="Arial"/>
          <w:sz w:val="20"/>
          <w:szCs w:val="20"/>
        </w:rPr>
      </w:pPr>
      <w:r w:rsidRPr="005D0386">
        <w:rPr>
          <w:rFonts w:ascii="Arial" w:hAnsi="Arial" w:cs="Arial"/>
          <w:b/>
          <w:sz w:val="20"/>
          <w:szCs w:val="20"/>
        </w:rPr>
        <w:t>Identifiers That Must Be Removed to Make Health Information De-Identified</w:t>
      </w:r>
    </w:p>
    <w:p w14:paraId="09470191" w14:textId="77777777" w:rsidR="005D0386" w:rsidRPr="005D0386" w:rsidRDefault="005D0386" w:rsidP="005D0386">
      <w:pPr>
        <w:tabs>
          <w:tab w:val="left" w:pos="-1080"/>
        </w:tabs>
        <w:ind w:left="720"/>
        <w:rPr>
          <w:rFonts w:ascii="Arial" w:hAnsi="Arial" w:cs="Arial"/>
          <w:sz w:val="20"/>
          <w:szCs w:val="20"/>
        </w:rPr>
      </w:pPr>
      <w:r w:rsidRPr="005D0386">
        <w:rPr>
          <w:rFonts w:ascii="Arial" w:hAnsi="Arial" w:cs="Arial"/>
          <w:sz w:val="20"/>
          <w:szCs w:val="20"/>
        </w:rPr>
        <w:t>(</w:t>
      </w:r>
      <w:proofErr w:type="spellStart"/>
      <w:r w:rsidRPr="005D0386">
        <w:rPr>
          <w:rFonts w:ascii="Arial" w:hAnsi="Arial" w:cs="Arial"/>
          <w:sz w:val="20"/>
          <w:szCs w:val="20"/>
        </w:rPr>
        <w:t>i</w:t>
      </w:r>
      <w:proofErr w:type="spellEnd"/>
      <w:r w:rsidRPr="005D0386">
        <w:rPr>
          <w:rFonts w:ascii="Arial" w:hAnsi="Arial" w:cs="Arial"/>
          <w:sz w:val="20"/>
          <w:szCs w:val="20"/>
        </w:rPr>
        <w:t>)</w:t>
      </w:r>
      <w:r w:rsidRPr="005D0386">
        <w:rPr>
          <w:rFonts w:ascii="Arial" w:hAnsi="Arial" w:cs="Arial"/>
          <w:sz w:val="20"/>
          <w:szCs w:val="20"/>
        </w:rPr>
        <w:tab/>
        <w:t>The following identifiers of the subject(s) or of relatives, employers or household members of the individual must be removed:</w:t>
      </w:r>
    </w:p>
    <w:p w14:paraId="0413C17D" w14:textId="4BDCBB6B" w:rsidR="005D0386" w:rsidRPr="005D0386" w:rsidRDefault="005D0386" w:rsidP="005D0386">
      <w:pPr>
        <w:tabs>
          <w:tab w:val="left" w:pos="-1080"/>
        </w:tabs>
        <w:rPr>
          <w:rFonts w:ascii="Arial" w:hAnsi="Arial" w:cs="Arial"/>
          <w:sz w:val="20"/>
          <w:szCs w:val="20"/>
        </w:rPr>
      </w:pPr>
      <w:r>
        <w:rPr>
          <w:rFonts w:ascii="Arial" w:hAnsi="Arial" w:cs="Arial"/>
          <w:sz w:val="20"/>
          <w:szCs w:val="20"/>
        </w:rPr>
        <w:tab/>
      </w:r>
      <w:r>
        <w:rPr>
          <w:rFonts w:ascii="Arial" w:hAnsi="Arial" w:cs="Arial"/>
          <w:sz w:val="20"/>
          <w:szCs w:val="20"/>
        </w:rPr>
        <w:tab/>
      </w:r>
      <w:r w:rsidRPr="005D0386">
        <w:rPr>
          <w:rFonts w:ascii="Arial" w:hAnsi="Arial" w:cs="Arial"/>
          <w:sz w:val="20"/>
          <w:szCs w:val="20"/>
        </w:rPr>
        <w:t>(A)</w:t>
      </w:r>
      <w:r w:rsidRPr="005D0386">
        <w:rPr>
          <w:rFonts w:ascii="Arial" w:hAnsi="Arial" w:cs="Arial"/>
          <w:sz w:val="20"/>
          <w:szCs w:val="20"/>
        </w:rPr>
        <w:tab/>
        <w:t>Names;</w:t>
      </w:r>
    </w:p>
    <w:p w14:paraId="04F29987" w14:textId="6B005C28" w:rsidR="005D0386" w:rsidRPr="005D0386" w:rsidRDefault="005D0386" w:rsidP="005D0386">
      <w:pPr>
        <w:tabs>
          <w:tab w:val="left" w:pos="-1080"/>
        </w:tabs>
        <w:ind w:left="720" w:hanging="720"/>
        <w:rPr>
          <w:rFonts w:ascii="Arial" w:hAnsi="Arial" w:cs="Arial"/>
          <w:sz w:val="20"/>
          <w:szCs w:val="20"/>
        </w:rPr>
      </w:pPr>
      <w:r>
        <w:rPr>
          <w:rFonts w:ascii="Arial" w:hAnsi="Arial" w:cs="Arial"/>
          <w:sz w:val="20"/>
          <w:szCs w:val="20"/>
        </w:rPr>
        <w:tab/>
      </w:r>
      <w:r>
        <w:rPr>
          <w:rFonts w:ascii="Arial" w:hAnsi="Arial" w:cs="Arial"/>
          <w:sz w:val="20"/>
          <w:szCs w:val="20"/>
        </w:rPr>
        <w:tab/>
      </w:r>
      <w:r w:rsidRPr="005D0386">
        <w:rPr>
          <w:rFonts w:ascii="Arial" w:hAnsi="Arial" w:cs="Arial"/>
          <w:sz w:val="20"/>
          <w:szCs w:val="20"/>
        </w:rPr>
        <w:t>(B)</w:t>
      </w:r>
      <w:r w:rsidRPr="005D0386">
        <w:rPr>
          <w:rFonts w:ascii="Arial" w:hAnsi="Arial" w:cs="Arial"/>
          <w:sz w:val="20"/>
          <w:szCs w:val="20"/>
        </w:rPr>
        <w:tab/>
        <w:t>All geographic subdivisions smaller than a State, including street address, city, county, precinct, zip code, and their equivalent geocodes, except for the initial three digits of a zip code if, according to the current publicly available data from the Bureau of the Census:</w:t>
      </w:r>
    </w:p>
    <w:p w14:paraId="69F87D99" w14:textId="05D5310D" w:rsidR="005D0386" w:rsidRPr="005D0386" w:rsidRDefault="005D0386" w:rsidP="005D0386">
      <w:pPr>
        <w:tabs>
          <w:tab w:val="left" w:pos="-1080"/>
        </w:tabs>
        <w:ind w:left="720" w:hanging="720"/>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sidRPr="005D0386">
        <w:rPr>
          <w:rFonts w:ascii="Arial" w:hAnsi="Arial" w:cs="Arial"/>
          <w:sz w:val="20"/>
          <w:szCs w:val="20"/>
        </w:rPr>
        <w:t>(1)</w:t>
      </w:r>
      <w:r w:rsidRPr="005D0386">
        <w:rPr>
          <w:rFonts w:ascii="Arial" w:hAnsi="Arial" w:cs="Arial"/>
          <w:sz w:val="20"/>
          <w:szCs w:val="20"/>
        </w:rPr>
        <w:tab/>
        <w:t>The geographic unit formed by combining all zip codes with the same three initial digits contains more than 20,000 people; and</w:t>
      </w:r>
    </w:p>
    <w:p w14:paraId="7CF74134" w14:textId="72FD6D19" w:rsidR="005D0386" w:rsidRPr="005D0386" w:rsidRDefault="005D0386" w:rsidP="005D0386">
      <w:pPr>
        <w:tabs>
          <w:tab w:val="left" w:pos="-1080"/>
        </w:tabs>
        <w:ind w:left="720" w:hanging="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5D0386">
        <w:rPr>
          <w:rFonts w:ascii="Arial" w:hAnsi="Arial" w:cs="Arial"/>
          <w:sz w:val="20"/>
          <w:szCs w:val="20"/>
        </w:rPr>
        <w:t>(2)</w:t>
      </w:r>
      <w:r w:rsidRPr="005D0386">
        <w:rPr>
          <w:rFonts w:ascii="Arial" w:hAnsi="Arial" w:cs="Arial"/>
          <w:sz w:val="20"/>
          <w:szCs w:val="20"/>
        </w:rPr>
        <w:tab/>
        <w:t>The initial three digits of a zip code for all such geographic units containing 20,000 or fewer people is changed to 000.</w:t>
      </w:r>
    </w:p>
    <w:p w14:paraId="348D53F0" w14:textId="674D4537" w:rsidR="005D0386" w:rsidRPr="005D0386" w:rsidRDefault="005D0386" w:rsidP="005D0386">
      <w:pPr>
        <w:tabs>
          <w:tab w:val="left" w:pos="-1080"/>
        </w:tabs>
        <w:ind w:left="720" w:hanging="720"/>
        <w:rPr>
          <w:rFonts w:ascii="Arial" w:hAnsi="Arial" w:cs="Arial"/>
          <w:sz w:val="20"/>
          <w:szCs w:val="20"/>
        </w:rPr>
      </w:pPr>
      <w:r>
        <w:rPr>
          <w:rFonts w:ascii="Arial" w:hAnsi="Arial" w:cs="Arial"/>
          <w:sz w:val="20"/>
          <w:szCs w:val="20"/>
        </w:rPr>
        <w:tab/>
      </w:r>
      <w:r>
        <w:rPr>
          <w:rFonts w:ascii="Arial" w:hAnsi="Arial" w:cs="Arial"/>
          <w:sz w:val="20"/>
          <w:szCs w:val="20"/>
        </w:rPr>
        <w:tab/>
      </w:r>
      <w:r w:rsidRPr="005D0386">
        <w:rPr>
          <w:rFonts w:ascii="Arial" w:hAnsi="Arial" w:cs="Arial"/>
          <w:sz w:val="20"/>
          <w:szCs w:val="20"/>
        </w:rPr>
        <w:t>(C)</w:t>
      </w:r>
      <w:r w:rsidRPr="005D0386">
        <w:rPr>
          <w:rFonts w:ascii="Arial" w:hAnsi="Arial" w:cs="Arial"/>
          <w:sz w:val="20"/>
          <w:szCs w:val="20"/>
        </w:rPr>
        <w:tab/>
        <w:t xml:space="preserve">All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category of age 90 or older; </w:t>
      </w:r>
    </w:p>
    <w:p w14:paraId="2CD9F555" w14:textId="5AF079CF" w:rsidR="005D0386" w:rsidRPr="005D0386" w:rsidRDefault="005D0386" w:rsidP="005D0386">
      <w:pPr>
        <w:tabs>
          <w:tab w:val="left" w:pos="-1080"/>
        </w:tabs>
        <w:ind w:left="720" w:hanging="720"/>
        <w:rPr>
          <w:rFonts w:ascii="Arial" w:hAnsi="Arial" w:cs="Arial"/>
          <w:sz w:val="20"/>
          <w:szCs w:val="20"/>
        </w:rPr>
      </w:pPr>
      <w:r>
        <w:rPr>
          <w:rFonts w:ascii="Arial" w:hAnsi="Arial" w:cs="Arial"/>
          <w:sz w:val="20"/>
          <w:szCs w:val="20"/>
        </w:rPr>
        <w:tab/>
      </w:r>
      <w:r>
        <w:rPr>
          <w:rFonts w:ascii="Arial" w:hAnsi="Arial" w:cs="Arial"/>
          <w:sz w:val="20"/>
          <w:szCs w:val="20"/>
        </w:rPr>
        <w:tab/>
      </w:r>
      <w:r w:rsidRPr="005D0386">
        <w:rPr>
          <w:rFonts w:ascii="Arial" w:hAnsi="Arial" w:cs="Arial"/>
          <w:sz w:val="20"/>
          <w:szCs w:val="20"/>
        </w:rPr>
        <w:t>(D)</w:t>
      </w:r>
      <w:r w:rsidRPr="005D0386">
        <w:rPr>
          <w:rFonts w:ascii="Arial" w:hAnsi="Arial" w:cs="Arial"/>
          <w:sz w:val="20"/>
          <w:szCs w:val="20"/>
        </w:rPr>
        <w:tab/>
        <w:t>Telephone numbers;</w:t>
      </w:r>
    </w:p>
    <w:p w14:paraId="40A57ADF" w14:textId="1C551DF9" w:rsidR="005D0386" w:rsidRPr="005D0386" w:rsidRDefault="005D0386" w:rsidP="005D0386">
      <w:pPr>
        <w:tabs>
          <w:tab w:val="left" w:pos="-1080"/>
        </w:tabs>
        <w:ind w:left="720" w:hanging="720"/>
        <w:rPr>
          <w:rFonts w:ascii="Arial" w:hAnsi="Arial" w:cs="Arial"/>
          <w:sz w:val="20"/>
          <w:szCs w:val="20"/>
        </w:rPr>
      </w:pPr>
      <w:r>
        <w:rPr>
          <w:rFonts w:ascii="Arial" w:hAnsi="Arial" w:cs="Arial"/>
          <w:sz w:val="20"/>
          <w:szCs w:val="20"/>
        </w:rPr>
        <w:tab/>
      </w:r>
      <w:r>
        <w:rPr>
          <w:rFonts w:ascii="Arial" w:hAnsi="Arial" w:cs="Arial"/>
          <w:sz w:val="20"/>
          <w:szCs w:val="20"/>
        </w:rPr>
        <w:tab/>
      </w:r>
      <w:r w:rsidRPr="005D0386">
        <w:rPr>
          <w:rFonts w:ascii="Arial" w:hAnsi="Arial" w:cs="Arial"/>
          <w:sz w:val="20"/>
          <w:szCs w:val="20"/>
        </w:rPr>
        <w:t>(E)</w:t>
      </w:r>
      <w:r w:rsidRPr="005D0386">
        <w:rPr>
          <w:rFonts w:ascii="Arial" w:hAnsi="Arial" w:cs="Arial"/>
          <w:sz w:val="20"/>
          <w:szCs w:val="20"/>
        </w:rPr>
        <w:tab/>
        <w:t>Fax numbers;</w:t>
      </w:r>
    </w:p>
    <w:p w14:paraId="2767914F" w14:textId="2EB04FAA" w:rsidR="005D0386" w:rsidRPr="005D0386" w:rsidRDefault="005D0386" w:rsidP="005D0386">
      <w:pPr>
        <w:tabs>
          <w:tab w:val="left" w:pos="-1080"/>
        </w:tabs>
        <w:ind w:left="720" w:hanging="720"/>
        <w:rPr>
          <w:rFonts w:ascii="Arial" w:hAnsi="Arial" w:cs="Arial"/>
          <w:sz w:val="20"/>
          <w:szCs w:val="20"/>
        </w:rPr>
      </w:pPr>
      <w:r>
        <w:rPr>
          <w:rFonts w:ascii="Arial" w:hAnsi="Arial" w:cs="Arial"/>
          <w:sz w:val="20"/>
          <w:szCs w:val="20"/>
        </w:rPr>
        <w:tab/>
      </w:r>
      <w:r>
        <w:rPr>
          <w:rFonts w:ascii="Arial" w:hAnsi="Arial" w:cs="Arial"/>
          <w:sz w:val="20"/>
          <w:szCs w:val="20"/>
        </w:rPr>
        <w:tab/>
      </w:r>
      <w:r w:rsidRPr="005D0386">
        <w:rPr>
          <w:rFonts w:ascii="Arial" w:hAnsi="Arial" w:cs="Arial"/>
          <w:sz w:val="20"/>
          <w:szCs w:val="20"/>
        </w:rPr>
        <w:t>(F)</w:t>
      </w:r>
      <w:r w:rsidRPr="005D0386">
        <w:rPr>
          <w:rFonts w:ascii="Arial" w:hAnsi="Arial" w:cs="Arial"/>
          <w:sz w:val="20"/>
          <w:szCs w:val="20"/>
        </w:rPr>
        <w:tab/>
        <w:t>Electronic mail addresses;</w:t>
      </w:r>
    </w:p>
    <w:p w14:paraId="4B3E4470" w14:textId="27BEDCB2" w:rsidR="005D0386" w:rsidRPr="005D0386" w:rsidRDefault="005D0386" w:rsidP="005D0386">
      <w:pPr>
        <w:tabs>
          <w:tab w:val="left" w:pos="-1080"/>
        </w:tabs>
        <w:ind w:left="720" w:hanging="720"/>
        <w:rPr>
          <w:rFonts w:ascii="Arial" w:hAnsi="Arial" w:cs="Arial"/>
          <w:sz w:val="20"/>
          <w:szCs w:val="20"/>
        </w:rPr>
      </w:pPr>
      <w:r>
        <w:rPr>
          <w:rFonts w:ascii="Arial" w:hAnsi="Arial" w:cs="Arial"/>
          <w:sz w:val="20"/>
          <w:szCs w:val="20"/>
        </w:rPr>
        <w:tab/>
      </w:r>
      <w:r>
        <w:rPr>
          <w:rFonts w:ascii="Arial" w:hAnsi="Arial" w:cs="Arial"/>
          <w:sz w:val="20"/>
          <w:szCs w:val="20"/>
        </w:rPr>
        <w:tab/>
      </w:r>
      <w:r w:rsidRPr="005D0386">
        <w:rPr>
          <w:rFonts w:ascii="Arial" w:hAnsi="Arial" w:cs="Arial"/>
          <w:sz w:val="20"/>
          <w:szCs w:val="20"/>
        </w:rPr>
        <w:t>(G)</w:t>
      </w:r>
      <w:r w:rsidRPr="005D0386">
        <w:rPr>
          <w:rFonts w:ascii="Arial" w:hAnsi="Arial" w:cs="Arial"/>
          <w:sz w:val="20"/>
          <w:szCs w:val="20"/>
        </w:rPr>
        <w:tab/>
        <w:t>Social security numbers;</w:t>
      </w:r>
    </w:p>
    <w:p w14:paraId="2ED45421" w14:textId="7F7D6373" w:rsidR="005D0386" w:rsidRPr="005D0386" w:rsidRDefault="005D0386" w:rsidP="005D0386">
      <w:pPr>
        <w:tabs>
          <w:tab w:val="left" w:pos="-1080"/>
        </w:tabs>
        <w:ind w:left="1440" w:hanging="720"/>
        <w:rPr>
          <w:rFonts w:ascii="Arial" w:hAnsi="Arial" w:cs="Arial"/>
          <w:sz w:val="20"/>
          <w:szCs w:val="20"/>
        </w:rPr>
      </w:pPr>
      <w:r>
        <w:rPr>
          <w:rFonts w:ascii="Arial" w:hAnsi="Arial" w:cs="Arial"/>
          <w:sz w:val="20"/>
          <w:szCs w:val="20"/>
        </w:rPr>
        <w:tab/>
      </w:r>
      <w:r w:rsidRPr="005D0386">
        <w:rPr>
          <w:rFonts w:ascii="Arial" w:hAnsi="Arial" w:cs="Arial"/>
          <w:sz w:val="20"/>
          <w:szCs w:val="20"/>
        </w:rPr>
        <w:t>(H)</w:t>
      </w:r>
      <w:r w:rsidRPr="005D0386">
        <w:rPr>
          <w:rFonts w:ascii="Arial" w:hAnsi="Arial" w:cs="Arial"/>
          <w:sz w:val="20"/>
          <w:szCs w:val="20"/>
        </w:rPr>
        <w:tab/>
        <w:t>Medical record numbers;</w:t>
      </w:r>
    </w:p>
    <w:p w14:paraId="22AC4EDB" w14:textId="77777777" w:rsidR="005D0386" w:rsidRPr="005D0386" w:rsidRDefault="005D0386" w:rsidP="005D0386">
      <w:pPr>
        <w:widowControl w:val="0"/>
        <w:numPr>
          <w:ilvl w:val="0"/>
          <w:numId w:val="31"/>
        </w:numPr>
        <w:tabs>
          <w:tab w:val="clear" w:pos="1440"/>
          <w:tab w:val="left" w:pos="-1080"/>
          <w:tab w:val="num" w:pos="2880"/>
        </w:tabs>
        <w:ind w:left="2160"/>
        <w:rPr>
          <w:rFonts w:ascii="Arial" w:hAnsi="Arial" w:cs="Arial"/>
          <w:sz w:val="20"/>
          <w:szCs w:val="20"/>
        </w:rPr>
      </w:pPr>
      <w:r w:rsidRPr="005D0386">
        <w:rPr>
          <w:rFonts w:ascii="Arial" w:hAnsi="Arial" w:cs="Arial"/>
          <w:sz w:val="20"/>
          <w:szCs w:val="20"/>
        </w:rPr>
        <w:t>Health plan beneficiary numbers;</w:t>
      </w:r>
    </w:p>
    <w:p w14:paraId="4759EB5E" w14:textId="7D09A38E" w:rsidR="005D0386" w:rsidRPr="005D0386" w:rsidRDefault="005D0386" w:rsidP="005D0386">
      <w:pPr>
        <w:tabs>
          <w:tab w:val="left" w:pos="-1080"/>
        </w:tabs>
        <w:ind w:left="1440" w:hanging="720"/>
        <w:rPr>
          <w:rFonts w:ascii="Arial" w:hAnsi="Arial" w:cs="Arial"/>
          <w:sz w:val="20"/>
          <w:szCs w:val="20"/>
        </w:rPr>
      </w:pPr>
      <w:r>
        <w:rPr>
          <w:rFonts w:ascii="Arial" w:hAnsi="Arial" w:cs="Arial"/>
          <w:sz w:val="20"/>
          <w:szCs w:val="20"/>
        </w:rPr>
        <w:tab/>
      </w:r>
      <w:r w:rsidRPr="005D0386">
        <w:rPr>
          <w:rFonts w:ascii="Arial" w:hAnsi="Arial" w:cs="Arial"/>
          <w:sz w:val="20"/>
          <w:szCs w:val="20"/>
        </w:rPr>
        <w:t>(J)</w:t>
      </w:r>
      <w:r w:rsidRPr="005D0386">
        <w:rPr>
          <w:rFonts w:ascii="Arial" w:hAnsi="Arial" w:cs="Arial"/>
          <w:sz w:val="20"/>
          <w:szCs w:val="20"/>
        </w:rPr>
        <w:tab/>
        <w:t>Account numbers;</w:t>
      </w:r>
    </w:p>
    <w:p w14:paraId="5FA75DBF" w14:textId="285A335A" w:rsidR="005D0386" w:rsidRPr="005D0386" w:rsidRDefault="005D0386" w:rsidP="005D0386">
      <w:pPr>
        <w:tabs>
          <w:tab w:val="left" w:pos="-1080"/>
        </w:tabs>
        <w:ind w:left="1440" w:hanging="720"/>
        <w:rPr>
          <w:rFonts w:ascii="Arial" w:hAnsi="Arial" w:cs="Arial"/>
          <w:sz w:val="20"/>
          <w:szCs w:val="20"/>
        </w:rPr>
      </w:pPr>
      <w:r>
        <w:rPr>
          <w:rFonts w:ascii="Arial" w:hAnsi="Arial" w:cs="Arial"/>
          <w:sz w:val="20"/>
          <w:szCs w:val="20"/>
        </w:rPr>
        <w:tab/>
      </w:r>
      <w:r w:rsidRPr="005D0386">
        <w:rPr>
          <w:rFonts w:ascii="Arial" w:hAnsi="Arial" w:cs="Arial"/>
          <w:sz w:val="20"/>
          <w:szCs w:val="20"/>
        </w:rPr>
        <w:t>(K)</w:t>
      </w:r>
      <w:r w:rsidRPr="005D0386">
        <w:rPr>
          <w:rFonts w:ascii="Arial" w:hAnsi="Arial" w:cs="Arial"/>
          <w:sz w:val="20"/>
          <w:szCs w:val="20"/>
        </w:rPr>
        <w:tab/>
        <w:t>Certificate/license numbers;</w:t>
      </w:r>
    </w:p>
    <w:p w14:paraId="32C4581B" w14:textId="64FC3328" w:rsidR="005D0386" w:rsidRPr="005D0386" w:rsidRDefault="005D0386" w:rsidP="005D0386">
      <w:pPr>
        <w:tabs>
          <w:tab w:val="left" w:pos="-1080"/>
        </w:tabs>
        <w:ind w:left="1440" w:hanging="720"/>
        <w:rPr>
          <w:rFonts w:ascii="Arial" w:hAnsi="Arial" w:cs="Arial"/>
          <w:sz w:val="20"/>
          <w:szCs w:val="20"/>
        </w:rPr>
      </w:pPr>
      <w:r>
        <w:rPr>
          <w:rFonts w:ascii="Arial" w:hAnsi="Arial" w:cs="Arial"/>
          <w:sz w:val="20"/>
          <w:szCs w:val="20"/>
        </w:rPr>
        <w:tab/>
      </w:r>
      <w:r w:rsidRPr="005D0386">
        <w:rPr>
          <w:rFonts w:ascii="Arial" w:hAnsi="Arial" w:cs="Arial"/>
          <w:sz w:val="20"/>
          <w:szCs w:val="20"/>
        </w:rPr>
        <w:t>(L)</w:t>
      </w:r>
      <w:r w:rsidRPr="005D0386">
        <w:rPr>
          <w:rFonts w:ascii="Arial" w:hAnsi="Arial" w:cs="Arial"/>
          <w:sz w:val="20"/>
          <w:szCs w:val="20"/>
        </w:rPr>
        <w:tab/>
        <w:t>Vehicle identifiers and serial numbers, including license plate numbers;</w:t>
      </w:r>
    </w:p>
    <w:p w14:paraId="3174D6FB" w14:textId="744F3459" w:rsidR="005D0386" w:rsidRPr="005D0386" w:rsidRDefault="005D0386" w:rsidP="005D0386">
      <w:pPr>
        <w:tabs>
          <w:tab w:val="left" w:pos="-1080"/>
        </w:tabs>
        <w:ind w:left="1440" w:hanging="720"/>
        <w:rPr>
          <w:rFonts w:ascii="Arial" w:hAnsi="Arial" w:cs="Arial"/>
          <w:sz w:val="20"/>
          <w:szCs w:val="20"/>
        </w:rPr>
      </w:pPr>
      <w:r>
        <w:rPr>
          <w:rFonts w:ascii="Arial" w:hAnsi="Arial" w:cs="Arial"/>
          <w:sz w:val="20"/>
          <w:szCs w:val="20"/>
        </w:rPr>
        <w:tab/>
      </w:r>
      <w:r w:rsidRPr="005D0386">
        <w:rPr>
          <w:rFonts w:ascii="Arial" w:hAnsi="Arial" w:cs="Arial"/>
          <w:sz w:val="20"/>
          <w:szCs w:val="20"/>
        </w:rPr>
        <w:t>(M)</w:t>
      </w:r>
      <w:r w:rsidRPr="005D0386">
        <w:rPr>
          <w:rFonts w:ascii="Arial" w:hAnsi="Arial" w:cs="Arial"/>
          <w:sz w:val="20"/>
          <w:szCs w:val="20"/>
        </w:rPr>
        <w:tab/>
        <w:t>Device identifiers and serial numbers;</w:t>
      </w:r>
    </w:p>
    <w:p w14:paraId="6A68267C" w14:textId="2F2132BB" w:rsidR="005D0386" w:rsidRPr="005D0386" w:rsidRDefault="005D0386" w:rsidP="005D0386">
      <w:pPr>
        <w:tabs>
          <w:tab w:val="left" w:pos="-1080"/>
        </w:tabs>
        <w:ind w:left="1440" w:hanging="720"/>
        <w:rPr>
          <w:rFonts w:ascii="Arial" w:hAnsi="Arial" w:cs="Arial"/>
          <w:sz w:val="20"/>
          <w:szCs w:val="20"/>
        </w:rPr>
      </w:pPr>
      <w:r>
        <w:rPr>
          <w:rFonts w:ascii="Arial" w:hAnsi="Arial" w:cs="Arial"/>
          <w:sz w:val="20"/>
          <w:szCs w:val="20"/>
        </w:rPr>
        <w:tab/>
      </w:r>
      <w:r w:rsidRPr="005D0386">
        <w:rPr>
          <w:rFonts w:ascii="Arial" w:hAnsi="Arial" w:cs="Arial"/>
          <w:sz w:val="20"/>
          <w:szCs w:val="20"/>
        </w:rPr>
        <w:t xml:space="preserve">(N) </w:t>
      </w:r>
      <w:r w:rsidRPr="005D0386">
        <w:rPr>
          <w:rFonts w:ascii="Arial" w:hAnsi="Arial" w:cs="Arial"/>
          <w:sz w:val="20"/>
          <w:szCs w:val="20"/>
        </w:rPr>
        <w:tab/>
        <w:t>Web Universal Resource Locators (URLs);</w:t>
      </w:r>
    </w:p>
    <w:p w14:paraId="389951F1" w14:textId="18664C24" w:rsidR="005D0386" w:rsidRPr="005D0386" w:rsidRDefault="005D0386" w:rsidP="005D0386">
      <w:pPr>
        <w:tabs>
          <w:tab w:val="left" w:pos="-1080"/>
        </w:tabs>
        <w:ind w:left="1440" w:hanging="720"/>
        <w:rPr>
          <w:rFonts w:ascii="Arial" w:hAnsi="Arial" w:cs="Arial"/>
          <w:sz w:val="20"/>
          <w:szCs w:val="20"/>
        </w:rPr>
      </w:pPr>
      <w:r>
        <w:rPr>
          <w:rFonts w:ascii="Arial" w:hAnsi="Arial" w:cs="Arial"/>
          <w:sz w:val="20"/>
          <w:szCs w:val="20"/>
        </w:rPr>
        <w:tab/>
      </w:r>
      <w:r w:rsidRPr="005D0386">
        <w:rPr>
          <w:rFonts w:ascii="Arial" w:hAnsi="Arial" w:cs="Arial"/>
          <w:sz w:val="20"/>
          <w:szCs w:val="20"/>
        </w:rPr>
        <w:t xml:space="preserve">(O) </w:t>
      </w:r>
      <w:r w:rsidRPr="005D0386">
        <w:rPr>
          <w:rFonts w:ascii="Arial" w:hAnsi="Arial" w:cs="Arial"/>
          <w:sz w:val="20"/>
          <w:szCs w:val="20"/>
        </w:rPr>
        <w:tab/>
        <w:t>Internet Protocol (IP) address numbers;</w:t>
      </w:r>
    </w:p>
    <w:p w14:paraId="6CE95DCB" w14:textId="33B08554" w:rsidR="005D0386" w:rsidRPr="005D0386" w:rsidRDefault="005D0386" w:rsidP="005D0386">
      <w:pPr>
        <w:tabs>
          <w:tab w:val="left" w:pos="-1080"/>
        </w:tabs>
        <w:ind w:left="1440" w:hanging="720"/>
        <w:rPr>
          <w:rFonts w:ascii="Arial" w:hAnsi="Arial" w:cs="Arial"/>
          <w:sz w:val="20"/>
          <w:szCs w:val="20"/>
        </w:rPr>
      </w:pPr>
      <w:r>
        <w:rPr>
          <w:rFonts w:ascii="Arial" w:hAnsi="Arial" w:cs="Arial"/>
          <w:sz w:val="20"/>
          <w:szCs w:val="20"/>
        </w:rPr>
        <w:tab/>
      </w:r>
      <w:r w:rsidRPr="005D0386">
        <w:rPr>
          <w:rFonts w:ascii="Arial" w:hAnsi="Arial" w:cs="Arial"/>
          <w:sz w:val="20"/>
          <w:szCs w:val="20"/>
        </w:rPr>
        <w:t xml:space="preserve">(P) </w:t>
      </w:r>
      <w:r w:rsidRPr="005D0386">
        <w:rPr>
          <w:rFonts w:ascii="Arial" w:hAnsi="Arial" w:cs="Arial"/>
          <w:sz w:val="20"/>
          <w:szCs w:val="20"/>
        </w:rPr>
        <w:tab/>
        <w:t>Biometric identifiers, including finger and voice prints;</w:t>
      </w:r>
    </w:p>
    <w:p w14:paraId="4FC02D61" w14:textId="6FBD0A8E" w:rsidR="005D0386" w:rsidRPr="005D0386" w:rsidRDefault="005D0386" w:rsidP="005D0386">
      <w:pPr>
        <w:tabs>
          <w:tab w:val="left" w:pos="-1080"/>
        </w:tabs>
        <w:ind w:left="1440" w:hanging="720"/>
        <w:rPr>
          <w:rFonts w:ascii="Arial" w:hAnsi="Arial" w:cs="Arial"/>
          <w:sz w:val="20"/>
          <w:szCs w:val="20"/>
        </w:rPr>
      </w:pPr>
      <w:r>
        <w:rPr>
          <w:rFonts w:ascii="Arial" w:hAnsi="Arial" w:cs="Arial"/>
          <w:sz w:val="20"/>
          <w:szCs w:val="20"/>
        </w:rPr>
        <w:tab/>
      </w:r>
      <w:r w:rsidRPr="005D0386">
        <w:rPr>
          <w:rFonts w:ascii="Arial" w:hAnsi="Arial" w:cs="Arial"/>
          <w:sz w:val="20"/>
          <w:szCs w:val="20"/>
        </w:rPr>
        <w:t xml:space="preserve">(Q) </w:t>
      </w:r>
      <w:r w:rsidRPr="005D0386">
        <w:rPr>
          <w:rFonts w:ascii="Arial" w:hAnsi="Arial" w:cs="Arial"/>
          <w:sz w:val="20"/>
          <w:szCs w:val="20"/>
        </w:rPr>
        <w:tab/>
        <w:t>Full face photographic images and any comparable images; and</w:t>
      </w:r>
    </w:p>
    <w:p w14:paraId="1A99CD2A" w14:textId="2BF199A1" w:rsidR="005D0386" w:rsidRPr="005D0386" w:rsidRDefault="005D0386" w:rsidP="005D0386">
      <w:pPr>
        <w:tabs>
          <w:tab w:val="left" w:pos="-1080"/>
        </w:tabs>
        <w:ind w:left="1440" w:hanging="720"/>
        <w:rPr>
          <w:rFonts w:ascii="Arial" w:hAnsi="Arial" w:cs="Arial"/>
          <w:sz w:val="20"/>
          <w:szCs w:val="20"/>
        </w:rPr>
      </w:pPr>
      <w:r>
        <w:rPr>
          <w:rFonts w:ascii="Arial" w:hAnsi="Arial" w:cs="Arial"/>
          <w:sz w:val="20"/>
          <w:szCs w:val="20"/>
        </w:rPr>
        <w:tab/>
      </w:r>
      <w:r w:rsidRPr="005D0386">
        <w:rPr>
          <w:rFonts w:ascii="Arial" w:hAnsi="Arial" w:cs="Arial"/>
          <w:sz w:val="20"/>
          <w:szCs w:val="20"/>
        </w:rPr>
        <w:t xml:space="preserve">(R) </w:t>
      </w:r>
      <w:r w:rsidRPr="005D0386">
        <w:rPr>
          <w:rFonts w:ascii="Arial" w:hAnsi="Arial" w:cs="Arial"/>
          <w:sz w:val="20"/>
          <w:szCs w:val="20"/>
        </w:rPr>
        <w:tab/>
        <w:t xml:space="preserve">Any other unique identifying number, characteristic, or code; and </w:t>
      </w:r>
    </w:p>
    <w:p w14:paraId="19607F74" w14:textId="77777777" w:rsidR="005D0386" w:rsidRPr="005D0386" w:rsidRDefault="005D0386" w:rsidP="005D0386">
      <w:pPr>
        <w:shd w:val="clear" w:color="auto" w:fill="FFFFFF"/>
        <w:spacing w:after="120" w:line="285" w:lineRule="atLeast"/>
        <w:ind w:left="720"/>
        <w:textAlignment w:val="baseline"/>
        <w:rPr>
          <w:rFonts w:ascii="Arial" w:hAnsi="Arial" w:cs="Arial"/>
          <w:sz w:val="20"/>
          <w:szCs w:val="20"/>
        </w:rPr>
      </w:pPr>
      <w:r w:rsidRPr="005D0386">
        <w:rPr>
          <w:rFonts w:ascii="Arial" w:hAnsi="Arial" w:cs="Arial"/>
          <w:sz w:val="20"/>
          <w:szCs w:val="20"/>
        </w:rPr>
        <w:t>(ii)</w:t>
      </w:r>
      <w:r w:rsidRPr="005D0386">
        <w:rPr>
          <w:rFonts w:ascii="Arial" w:hAnsi="Arial" w:cs="Arial"/>
          <w:sz w:val="20"/>
          <w:szCs w:val="20"/>
        </w:rPr>
        <w:tab/>
        <w:t>The covered entity does not have actual knowledge that the information could be used alone or in combination with other information to identify an individual who is a subject of the information.</w:t>
      </w:r>
    </w:p>
    <w:p w14:paraId="7DCFDE26" w14:textId="77777777" w:rsidR="00D11493" w:rsidRDefault="00D11493" w:rsidP="00D11493">
      <w:pPr>
        <w:pStyle w:val="SOPLevel1"/>
      </w:pPr>
      <w:r>
        <w:t>RESPONSIBILITIES</w:t>
      </w:r>
    </w:p>
    <w:p w14:paraId="552207D0" w14:textId="58CF4FC7" w:rsidR="00A06236" w:rsidRDefault="005D0386" w:rsidP="00D11493">
      <w:pPr>
        <w:pStyle w:val="SOPLevel2"/>
      </w:pPr>
      <w:r>
        <w:t xml:space="preserve">It is the responsibility of the </w:t>
      </w:r>
      <w:r w:rsidR="004D0FB5">
        <w:t xml:space="preserve">investigator </w:t>
      </w:r>
      <w:r>
        <w:t>to confirm that the definitions of a case report are met.</w:t>
      </w:r>
    </w:p>
    <w:p w14:paraId="1AEBD471" w14:textId="6400C81A" w:rsidR="00E277A0" w:rsidRDefault="005D0386" w:rsidP="00E277A0">
      <w:pPr>
        <w:pStyle w:val="SOPLevel2"/>
      </w:pPr>
      <w:r>
        <w:t xml:space="preserve">It is the responsibility of the </w:t>
      </w:r>
      <w:r w:rsidR="004D0FB5">
        <w:t xml:space="preserve">investigator </w:t>
      </w:r>
      <w:r>
        <w:t xml:space="preserve">to </w:t>
      </w:r>
      <w:r w:rsidR="004D0FB5">
        <w:t>submit their work</w:t>
      </w:r>
      <w:r w:rsidR="009A27D6">
        <w:t xml:space="preserve"> to the IRB</w:t>
      </w:r>
      <w:r w:rsidR="004D0FB5">
        <w:t xml:space="preserve"> before submission for publication if there is any doubt that it meets the definition of a case report.</w:t>
      </w:r>
      <w:r w:rsidR="00E277A0">
        <w:t xml:space="preserve"> </w:t>
      </w:r>
    </w:p>
    <w:p w14:paraId="07F935E9" w14:textId="7BEA52C2" w:rsidR="0055294B" w:rsidRDefault="004D0FB5" w:rsidP="00E277A0">
      <w:pPr>
        <w:pStyle w:val="SOPLevel2"/>
      </w:pPr>
      <w:r>
        <w:t>It is the responsibility of the investigator to confirm that the case report meets HIPAA requirements and is reviewed by the local privacy officer before submission for publication if any personal Health information and/or personal identifiers are present</w:t>
      </w:r>
      <w:r w:rsidR="00157280">
        <w:t>.</w:t>
      </w:r>
    </w:p>
    <w:p w14:paraId="157F3795" w14:textId="77777777" w:rsidR="00D11493" w:rsidRPr="008576AA" w:rsidRDefault="00D11493" w:rsidP="00D11493">
      <w:pPr>
        <w:pStyle w:val="SOPLevel1"/>
      </w:pPr>
      <w:r w:rsidRPr="008576AA">
        <w:t>PROCEDURE</w:t>
      </w:r>
    </w:p>
    <w:p w14:paraId="2DA3E504" w14:textId="65C92F96" w:rsidR="00A06236" w:rsidRDefault="00A06236" w:rsidP="00D11493">
      <w:pPr>
        <w:pStyle w:val="SOPLevel2"/>
      </w:pPr>
      <w:r>
        <w:t xml:space="preserve">The investigator must </w:t>
      </w:r>
      <w:r w:rsidR="004D0FB5">
        <w:t>confirm that the work meets the UB definition of a case report or submit to the IRB for a formal determination</w:t>
      </w:r>
      <w:r>
        <w:t>.</w:t>
      </w:r>
    </w:p>
    <w:p w14:paraId="26ECC7C0" w14:textId="7BA145E6" w:rsidR="0097446D" w:rsidRDefault="004D0FB5" w:rsidP="00D11493">
      <w:pPr>
        <w:pStyle w:val="SOPLevel2"/>
      </w:pPr>
      <w:r>
        <w:t xml:space="preserve">If the case report is not deidentified and includes any PHI or personal identifiers, the investigator must </w:t>
      </w:r>
      <w:r w:rsidR="002307C4">
        <w:t>contact their local Privacy Officer to discuss their required steps prior to publication</w:t>
      </w:r>
      <w:r w:rsidR="0097446D">
        <w:t>.</w:t>
      </w:r>
    </w:p>
    <w:p w14:paraId="750375DF" w14:textId="3BCE942B" w:rsidR="005143F4" w:rsidRPr="005143F4" w:rsidRDefault="005143F4" w:rsidP="005143F4">
      <w:pPr>
        <w:pStyle w:val="SOPLevel2"/>
        <w:numPr>
          <w:ilvl w:val="0"/>
          <w:numId w:val="0"/>
        </w:numPr>
        <w:ind w:left="360"/>
        <w:rPr>
          <w:rFonts w:cs="Arial"/>
          <w:szCs w:val="20"/>
        </w:rPr>
      </w:pPr>
      <w:r w:rsidRPr="005143F4">
        <w:rPr>
          <w:rFonts w:cs="Arial"/>
          <w:szCs w:val="20"/>
        </w:rPr>
        <w:t>NOTE: Case reports for publication must be prepared in accordance with the requirements of the HIPAA privacy regulations. Any use or disclosure of PHI must be authorized by the subject, or, if the subject is deceased, the subject’s family. Publication of a case report containing PHI is a disclosure of PHI. The Privacy Officer or designated HIPAA authority at the applicable organization should be consulted prior to submission of the case report to assure proper authorization was obtained. </w:t>
      </w:r>
    </w:p>
    <w:p w14:paraId="7FCF917C" w14:textId="77777777" w:rsidR="004D0FB5" w:rsidRPr="004D0FB5" w:rsidRDefault="004D0FB5" w:rsidP="00D11493">
      <w:pPr>
        <w:pStyle w:val="SOPLevel2"/>
      </w:pPr>
      <w:r w:rsidRPr="002307C4">
        <w:rPr>
          <w:rFonts w:cs="Arial"/>
        </w:rPr>
        <w:t>Although the use of protected health information to publish the case report does not require IRB review, the author of the case report must comply with HIPAA</w:t>
      </w:r>
      <w:r w:rsidRPr="00E6043F">
        <w:rPr>
          <w:rFonts w:ascii="Garamond" w:hAnsi="Garamond" w:cs="Arial"/>
        </w:rPr>
        <w:t xml:space="preserve">.  </w:t>
      </w:r>
    </w:p>
    <w:p w14:paraId="72C7D17F" w14:textId="4737F880" w:rsidR="004D0FB5" w:rsidRDefault="004D0FB5" w:rsidP="004D0FB5">
      <w:pPr>
        <w:pStyle w:val="SOPLevel3"/>
      </w:pPr>
      <w:r w:rsidRPr="00E6043F">
        <w:t xml:space="preserve">Ideally, the author of the article will obtain the signed authorization of the subject, or the subject’s legally authorized representative if the subject is deceased, to use the subject’s information in the </w:t>
      </w:r>
      <w:r w:rsidRPr="00DE1DFA">
        <w:t>report</w:t>
      </w:r>
      <w:r w:rsidR="00FF6AFD">
        <w:t xml:space="preserve"> regardless of whether it is deidentified</w:t>
      </w:r>
      <w:proofErr w:type="gramStart"/>
      <w:r w:rsidR="00FF6AFD">
        <w:t>.</w:t>
      </w:r>
      <w:r w:rsidRPr="00E6043F">
        <w:t>.</w:t>
      </w:r>
      <w:proofErr w:type="gramEnd"/>
      <w:r w:rsidRPr="00E6043F">
        <w:t xml:space="preserve">  </w:t>
      </w:r>
    </w:p>
    <w:p w14:paraId="29417297" w14:textId="77777777" w:rsidR="002307C4" w:rsidRDefault="004D0FB5" w:rsidP="004D0FB5">
      <w:pPr>
        <w:pStyle w:val="SOPLevel3"/>
      </w:pPr>
      <w:r w:rsidRPr="00E6043F">
        <w:lastRenderedPageBreak/>
        <w:t xml:space="preserve">If it is not possible to obtain authorization, the author should be aware that one of the identifiers described by HIPAA as requiring written authorization is, “Any other unique identifying number, characteristic, or code….”  </w:t>
      </w:r>
    </w:p>
    <w:p w14:paraId="557CD23B" w14:textId="370F665C" w:rsidR="00157280" w:rsidRDefault="004D0FB5" w:rsidP="004D0FB5">
      <w:pPr>
        <w:pStyle w:val="SOPLevel3"/>
      </w:pPr>
      <w:r w:rsidRPr="00E6043F">
        <w:t>Moreover, HIPAA requires that, at the time of publication, “[t]he covered entity does not have actual knowledge that the information could be used alone or in combination with other information to identify an individual who is a subject of the information.”</w:t>
      </w:r>
      <w:r w:rsidR="005143F4">
        <w:t xml:space="preserve">  </w:t>
      </w:r>
    </w:p>
    <w:p w14:paraId="0846BCD6" w14:textId="5F399B1E" w:rsidR="00112B22" w:rsidRDefault="002307C4" w:rsidP="002307C4">
      <w:pPr>
        <w:pStyle w:val="SOPLevel2"/>
      </w:pPr>
      <w:r>
        <w:t>Once an investigator has confirmed that the proposed submission meets the UB definition of a case report and all HIPAA requirements have been satisfied, it can be submitted to a journal with the UB IRB memo</w:t>
      </w:r>
      <w:r w:rsidR="003E547F">
        <w:t xml:space="preserve"> (HRP-911)</w:t>
      </w:r>
    </w:p>
    <w:p w14:paraId="70D7C88B" w14:textId="4C4A56B8" w:rsidR="000121C3" w:rsidRPr="00D12AAB" w:rsidRDefault="005143F4" w:rsidP="004B05BE">
      <w:pPr>
        <w:pStyle w:val="SOPLevel3"/>
      </w:pPr>
      <w:r>
        <w:t>If a journal does not accept the IRB memo, the investigator should inform the UB IRB and the work will be reviewed by the IRB for resolution.</w:t>
      </w:r>
    </w:p>
    <w:p w14:paraId="6E2D33D1" w14:textId="77777777" w:rsidR="007B27A2" w:rsidRPr="00D11493" w:rsidRDefault="007B27A2" w:rsidP="00D11493"/>
    <w:sectPr w:rsidR="007B27A2" w:rsidRPr="00D11493" w:rsidSect="002D400D">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91931" w14:textId="77777777" w:rsidR="0094492F" w:rsidRDefault="0094492F" w:rsidP="007C0AA4">
      <w:r>
        <w:separator/>
      </w:r>
    </w:p>
  </w:endnote>
  <w:endnote w:type="continuationSeparator" w:id="0">
    <w:p w14:paraId="30280830" w14:textId="77777777" w:rsidR="0094492F" w:rsidRDefault="0094492F"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FA6D9" w14:textId="5208B4CE" w:rsidR="008458D3" w:rsidRPr="00EB0C27" w:rsidRDefault="000E3478" w:rsidP="000E3478">
    <w:pPr>
      <w:pStyle w:val="Footer"/>
      <w:rPr>
        <w:lang w:val="en-US"/>
      </w:rPr>
    </w:pPr>
    <w:r>
      <w:tab/>
      <w:t xml:space="preserve">Page </w:t>
    </w:r>
    <w:r>
      <w:rPr>
        <w:rStyle w:val="PageNumber"/>
      </w:rPr>
      <w:fldChar w:fldCharType="begin"/>
    </w:r>
    <w:r>
      <w:rPr>
        <w:rStyle w:val="PageNumber"/>
      </w:rPr>
      <w:instrText xml:space="preserve"> PAGE </w:instrText>
    </w:r>
    <w:r>
      <w:rPr>
        <w:rStyle w:val="PageNumber"/>
      </w:rPr>
      <w:fldChar w:fldCharType="separate"/>
    </w:r>
    <w:r w:rsidR="00BB2C7C">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B2C7C">
      <w:rPr>
        <w:rStyle w:val="PageNumber"/>
        <w:noProof/>
      </w:rPr>
      <w:t>3</w:t>
    </w:r>
    <w:r>
      <w:rPr>
        <w:rStyle w:val="PageNumber"/>
      </w:rPr>
      <w:fldChar w:fldCharType="end"/>
    </w:r>
    <w:r w:rsidRPr="00EE6AD4">
      <w:rPr>
        <w:rStyle w:val="PageNumber"/>
        <w:rFonts w:ascii="Times New Roman" w:hAnsi="Times New Roman"/>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859176"/>
      <w:docPartObj>
        <w:docPartGallery w:val="Page Numbers (Bottom of Page)"/>
        <w:docPartUnique/>
      </w:docPartObj>
    </w:sdtPr>
    <w:sdtEndPr/>
    <w:sdtContent>
      <w:sdt>
        <w:sdtPr>
          <w:id w:val="-1669238322"/>
          <w:docPartObj>
            <w:docPartGallery w:val="Page Numbers (Top of Page)"/>
            <w:docPartUnique/>
          </w:docPartObj>
        </w:sdtPr>
        <w:sdtEndPr/>
        <w:sdtContent>
          <w:p w14:paraId="13A23D87" w14:textId="737D1389" w:rsidR="00C011C1" w:rsidRDefault="00C011C1">
            <w:pPr>
              <w:pStyle w:val="Footer"/>
              <w:jc w:val="center"/>
            </w:pPr>
            <w:r>
              <w:t xml:space="preserve">Page </w:t>
            </w:r>
            <w:r>
              <w:rPr>
                <w:b/>
                <w:bCs/>
              </w:rPr>
              <w:fldChar w:fldCharType="begin"/>
            </w:r>
            <w:r>
              <w:rPr>
                <w:b/>
                <w:bCs/>
              </w:rPr>
              <w:instrText xml:space="preserve"> PAGE </w:instrText>
            </w:r>
            <w:r>
              <w:rPr>
                <w:b/>
                <w:bCs/>
              </w:rPr>
              <w:fldChar w:fldCharType="separate"/>
            </w:r>
            <w:r w:rsidR="00BB2C7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B2C7C">
              <w:rPr>
                <w:b/>
                <w:bCs/>
                <w:noProof/>
              </w:rPr>
              <w:t>3</w:t>
            </w:r>
            <w:r>
              <w:rPr>
                <w:b/>
                <w:bCs/>
              </w:rPr>
              <w:fldChar w:fldCharType="end"/>
            </w:r>
          </w:p>
        </w:sdtContent>
      </w:sdt>
    </w:sdtContent>
  </w:sdt>
  <w:p w14:paraId="521F236E" w14:textId="77777777" w:rsidR="00C011C1" w:rsidRDefault="00C01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B4CE9" w14:textId="77777777" w:rsidR="0094492F" w:rsidRDefault="0094492F" w:rsidP="007C0AA4">
      <w:r>
        <w:separator/>
      </w:r>
    </w:p>
  </w:footnote>
  <w:footnote w:type="continuationSeparator" w:id="0">
    <w:p w14:paraId="7F16B6BC" w14:textId="77777777" w:rsidR="0094492F" w:rsidRDefault="0094492F"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5CD3F" w14:textId="44B03610" w:rsidR="00464587" w:rsidRDefault="00464587">
    <w:r>
      <w:rPr>
        <w:noProof/>
      </w:rPr>
      <w:drawing>
        <wp:anchor distT="0" distB="0" distL="114300" distR="114300" simplePos="0" relativeHeight="251659264" behindDoc="0" locked="0" layoutInCell="1" allowOverlap="1" wp14:anchorId="319AFA59" wp14:editId="176FC335">
          <wp:simplePos x="0" y="0"/>
          <wp:positionH relativeFrom="margin">
            <wp:posOffset>828675</wp:posOffset>
          </wp:positionH>
          <wp:positionV relativeFrom="paragraph">
            <wp:posOffset>-325755</wp:posOffset>
          </wp:positionV>
          <wp:extent cx="3825240" cy="678180"/>
          <wp:effectExtent l="0" t="0" r="3810" b="7620"/>
          <wp:wrapNone/>
          <wp:docPr id="3" name="Picture 3"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82524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5354"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036"/>
      <w:gridCol w:w="997"/>
      <w:gridCol w:w="1117"/>
      <w:gridCol w:w="1036"/>
      <w:gridCol w:w="3062"/>
    </w:tblGrid>
    <w:tr w:rsidR="00BB2C7C" w:rsidRPr="006520A8" w14:paraId="42087C5D" w14:textId="77777777" w:rsidTr="00BB2C7C">
      <w:trPr>
        <w:cantSplit/>
        <w:trHeight w:hRule="exact" w:val="360"/>
      </w:trPr>
      <w:tc>
        <w:tcPr>
          <w:tcW w:w="2004" w:type="dxa"/>
          <w:vMerge w:val="restart"/>
          <w:tcBorders>
            <w:top w:val="nil"/>
            <w:left w:val="nil"/>
            <w:right w:val="nil"/>
          </w:tcBorders>
          <w:vAlign w:val="center"/>
        </w:tcPr>
        <w:p w14:paraId="46770F2D" w14:textId="4274CAA8" w:rsidR="00BB2C7C" w:rsidRPr="006520A8" w:rsidRDefault="00BB2C7C" w:rsidP="00BB492C">
          <w:pPr>
            <w:jc w:val="center"/>
            <w:rPr>
              <w:b/>
              <w:color w:val="FFFFFF"/>
            </w:rPr>
          </w:pPr>
        </w:p>
      </w:tc>
      <w:tc>
        <w:tcPr>
          <w:tcW w:w="1036" w:type="dxa"/>
          <w:tcBorders>
            <w:top w:val="nil"/>
            <w:left w:val="nil"/>
            <w:right w:val="nil"/>
          </w:tcBorders>
        </w:tcPr>
        <w:p w14:paraId="5D1154CD" w14:textId="77777777" w:rsidR="00BB2C7C" w:rsidRPr="006520A8" w:rsidRDefault="00BB2C7C" w:rsidP="00BB492C">
          <w:pPr>
            <w:pStyle w:val="SOPName"/>
            <w:jc w:val="right"/>
            <w:rPr>
              <w:rStyle w:val="SOPLeader"/>
              <w:rFonts w:ascii="Arial" w:hAnsi="Arial" w:cs="Arial"/>
            </w:rPr>
          </w:pPr>
        </w:p>
      </w:tc>
      <w:tc>
        <w:tcPr>
          <w:tcW w:w="6212" w:type="dxa"/>
          <w:gridSpan w:val="4"/>
          <w:tcBorders>
            <w:top w:val="nil"/>
            <w:left w:val="nil"/>
            <w:bottom w:val="single" w:sz="8" w:space="0" w:color="auto"/>
            <w:right w:val="nil"/>
          </w:tcBorders>
          <w:vAlign w:val="center"/>
        </w:tcPr>
        <w:p w14:paraId="608DFBF9" w14:textId="51199260" w:rsidR="00BB2C7C" w:rsidRPr="006520A8" w:rsidRDefault="00BB2C7C" w:rsidP="00BB492C">
          <w:pPr>
            <w:pStyle w:val="SOPName"/>
            <w:jc w:val="right"/>
            <w:rPr>
              <w:rStyle w:val="SOPLeader"/>
              <w:rFonts w:ascii="Arial" w:hAnsi="Arial" w:cs="Arial"/>
            </w:rPr>
          </w:pPr>
        </w:p>
      </w:tc>
    </w:tr>
    <w:tr w:rsidR="00BB2C7C" w:rsidRPr="006520A8" w14:paraId="729C826F" w14:textId="77777777" w:rsidTr="00BB2C7C">
      <w:trPr>
        <w:cantSplit/>
        <w:trHeight w:hRule="exact" w:val="290"/>
      </w:trPr>
      <w:tc>
        <w:tcPr>
          <w:tcW w:w="2004" w:type="dxa"/>
          <w:vMerge/>
          <w:tcBorders>
            <w:left w:val="nil"/>
            <w:right w:val="single" w:sz="8" w:space="0" w:color="auto"/>
          </w:tcBorders>
        </w:tcPr>
        <w:p w14:paraId="5A97CDC1" w14:textId="77777777" w:rsidR="00BB2C7C" w:rsidRDefault="00BB2C7C" w:rsidP="00BB492C"/>
      </w:tc>
      <w:tc>
        <w:tcPr>
          <w:tcW w:w="7248" w:type="dxa"/>
          <w:gridSpan w:val="5"/>
          <w:tcBorders>
            <w:left w:val="single" w:sz="8" w:space="0" w:color="auto"/>
            <w:right w:val="single" w:sz="8" w:space="0" w:color="auto"/>
          </w:tcBorders>
        </w:tcPr>
        <w:p w14:paraId="5740F8FA" w14:textId="0B2C8298" w:rsidR="00BB2C7C" w:rsidRPr="00BB2C7C" w:rsidRDefault="00BB2C7C" w:rsidP="00BB2C7C">
          <w:pPr>
            <w:jc w:val="center"/>
            <w:rPr>
              <w:rFonts w:ascii="Arial" w:hAnsi="Arial" w:cs="Arial"/>
            </w:rPr>
          </w:pPr>
          <w:r w:rsidRPr="00BB2C7C">
            <w:rPr>
              <w:rFonts w:ascii="Arial" w:hAnsi="Arial" w:cs="Arial"/>
            </w:rPr>
            <w:t>Case Report Guidance for IRB Review and HIPAA Compliance</w:t>
          </w:r>
        </w:p>
      </w:tc>
    </w:tr>
    <w:tr w:rsidR="00BB2C7C" w:rsidRPr="006520A8" w14:paraId="1F2BE793" w14:textId="77777777" w:rsidTr="00BB2C7C">
      <w:trPr>
        <w:cantSplit/>
        <w:trHeight w:val="195"/>
      </w:trPr>
      <w:tc>
        <w:tcPr>
          <w:tcW w:w="2004" w:type="dxa"/>
          <w:vMerge/>
          <w:tcBorders>
            <w:left w:val="nil"/>
            <w:right w:val="single" w:sz="8" w:space="0" w:color="auto"/>
          </w:tcBorders>
        </w:tcPr>
        <w:p w14:paraId="7944C093" w14:textId="77777777" w:rsidR="00BB2C7C" w:rsidRDefault="00BB2C7C" w:rsidP="00BB492C"/>
      </w:tc>
      <w:tc>
        <w:tcPr>
          <w:tcW w:w="2033" w:type="dxa"/>
          <w:gridSpan w:val="2"/>
          <w:tcBorders>
            <w:top w:val="single" w:sz="8" w:space="0" w:color="auto"/>
            <w:left w:val="single" w:sz="8" w:space="0" w:color="auto"/>
            <w:bottom w:val="single" w:sz="8" w:space="0" w:color="auto"/>
            <w:right w:val="single" w:sz="8" w:space="0" w:color="auto"/>
          </w:tcBorders>
          <w:vAlign w:val="center"/>
        </w:tcPr>
        <w:p w14:paraId="5D9CC91A" w14:textId="23D2E4B8" w:rsidR="00BB2C7C" w:rsidRPr="00985449" w:rsidRDefault="00BB2C7C" w:rsidP="00BB492C">
          <w:pPr>
            <w:pStyle w:val="SOPTableHeader"/>
            <w:rPr>
              <w:rFonts w:ascii="Arial" w:hAnsi="Arial" w:cs="Arial"/>
              <w:sz w:val="18"/>
              <w:szCs w:val="18"/>
            </w:rPr>
          </w:pPr>
          <w:r w:rsidRPr="00985449">
            <w:rPr>
              <w:rFonts w:ascii="Arial" w:hAnsi="Arial" w:cs="Arial"/>
              <w:sz w:val="18"/>
              <w:szCs w:val="18"/>
            </w:rPr>
            <w:t>NUMBER</w:t>
          </w:r>
        </w:p>
      </w:tc>
      <w:tc>
        <w:tcPr>
          <w:tcW w:w="1117" w:type="dxa"/>
          <w:tcBorders>
            <w:top w:val="single" w:sz="8" w:space="0" w:color="auto"/>
            <w:left w:val="single" w:sz="8" w:space="0" w:color="auto"/>
            <w:bottom w:val="single" w:sz="8" w:space="0" w:color="auto"/>
            <w:right w:val="single" w:sz="8" w:space="0" w:color="auto"/>
          </w:tcBorders>
          <w:vAlign w:val="center"/>
        </w:tcPr>
        <w:p w14:paraId="62DBD478" w14:textId="77777777" w:rsidR="00BB2C7C" w:rsidRPr="006520A8" w:rsidRDefault="00BB2C7C" w:rsidP="00BB492C">
          <w:pPr>
            <w:pStyle w:val="SOPTableHeader"/>
            <w:rPr>
              <w:rFonts w:ascii="Arial" w:hAnsi="Arial" w:cs="Arial"/>
              <w:sz w:val="18"/>
              <w:szCs w:val="18"/>
            </w:rPr>
          </w:pPr>
          <w:r w:rsidRPr="006520A8">
            <w:rPr>
              <w:rFonts w:ascii="Arial" w:hAnsi="Arial" w:cs="Arial"/>
              <w:sz w:val="18"/>
              <w:szCs w:val="18"/>
            </w:rPr>
            <w:t>DATE</w:t>
          </w:r>
        </w:p>
      </w:tc>
      <w:tc>
        <w:tcPr>
          <w:tcW w:w="1036" w:type="dxa"/>
          <w:tcBorders>
            <w:top w:val="single" w:sz="8" w:space="0" w:color="auto"/>
            <w:left w:val="single" w:sz="8" w:space="0" w:color="auto"/>
            <w:bottom w:val="single" w:sz="8" w:space="0" w:color="auto"/>
            <w:right w:val="single" w:sz="8" w:space="0" w:color="auto"/>
          </w:tcBorders>
        </w:tcPr>
        <w:p w14:paraId="4763B46B" w14:textId="2E46EA5C" w:rsidR="00BB2C7C" w:rsidRPr="006520A8" w:rsidRDefault="00BB2C7C" w:rsidP="00BB492C">
          <w:pPr>
            <w:pStyle w:val="SOPTableHeader"/>
            <w:rPr>
              <w:rFonts w:ascii="Arial" w:hAnsi="Arial" w:cs="Arial"/>
              <w:sz w:val="18"/>
              <w:szCs w:val="18"/>
            </w:rPr>
          </w:pPr>
          <w:r>
            <w:rPr>
              <w:rFonts w:ascii="Arial" w:hAnsi="Arial" w:cs="Arial"/>
              <w:sz w:val="18"/>
              <w:szCs w:val="18"/>
            </w:rPr>
            <w:t>AUTHOR</w:t>
          </w:r>
        </w:p>
      </w:tc>
      <w:tc>
        <w:tcPr>
          <w:tcW w:w="3062" w:type="dxa"/>
          <w:tcBorders>
            <w:top w:val="single" w:sz="8" w:space="0" w:color="auto"/>
            <w:left w:val="single" w:sz="8" w:space="0" w:color="auto"/>
            <w:bottom w:val="single" w:sz="8" w:space="0" w:color="auto"/>
            <w:right w:val="single" w:sz="8" w:space="0" w:color="auto"/>
          </w:tcBorders>
          <w:vAlign w:val="center"/>
        </w:tcPr>
        <w:p w14:paraId="2672DA42" w14:textId="6FA27B5E" w:rsidR="00BB2C7C" w:rsidRPr="006520A8" w:rsidRDefault="00BB2C7C" w:rsidP="00BB492C">
          <w:pPr>
            <w:pStyle w:val="SOPTableHeader"/>
            <w:rPr>
              <w:rFonts w:ascii="Arial" w:hAnsi="Arial" w:cs="Arial"/>
              <w:sz w:val="18"/>
              <w:szCs w:val="18"/>
            </w:rPr>
          </w:pPr>
          <w:r w:rsidRPr="006520A8">
            <w:rPr>
              <w:rFonts w:ascii="Arial" w:hAnsi="Arial" w:cs="Arial"/>
              <w:sz w:val="18"/>
              <w:szCs w:val="18"/>
            </w:rPr>
            <w:t>PAGE</w:t>
          </w:r>
        </w:p>
      </w:tc>
    </w:tr>
    <w:tr w:rsidR="00BB2C7C" w:rsidRPr="006520A8" w14:paraId="608A1FAC" w14:textId="77777777" w:rsidTr="00BB2C7C">
      <w:trPr>
        <w:cantSplit/>
        <w:trHeight w:val="195"/>
      </w:trPr>
      <w:tc>
        <w:tcPr>
          <w:tcW w:w="2004" w:type="dxa"/>
          <w:vMerge/>
          <w:tcBorders>
            <w:left w:val="nil"/>
            <w:bottom w:val="nil"/>
            <w:right w:val="single" w:sz="8" w:space="0" w:color="auto"/>
          </w:tcBorders>
        </w:tcPr>
        <w:p w14:paraId="725FC4D2" w14:textId="77777777" w:rsidR="00BB2C7C" w:rsidRDefault="00BB2C7C" w:rsidP="00BB492C"/>
      </w:tc>
      <w:tc>
        <w:tcPr>
          <w:tcW w:w="2033" w:type="dxa"/>
          <w:gridSpan w:val="2"/>
          <w:tcBorders>
            <w:top w:val="single" w:sz="8" w:space="0" w:color="auto"/>
            <w:left w:val="single" w:sz="8" w:space="0" w:color="auto"/>
            <w:bottom w:val="single" w:sz="8" w:space="0" w:color="auto"/>
            <w:right w:val="single" w:sz="8" w:space="0" w:color="auto"/>
          </w:tcBorders>
          <w:vAlign w:val="center"/>
        </w:tcPr>
        <w:p w14:paraId="5F0EA4FF" w14:textId="2BEE1336" w:rsidR="00BB2C7C" w:rsidRPr="00922620" w:rsidRDefault="00BB2C7C" w:rsidP="00173091">
          <w:pPr>
            <w:pStyle w:val="SOPTableEntry"/>
            <w:rPr>
              <w:rFonts w:ascii="Arial" w:hAnsi="Arial" w:cs="Arial"/>
            </w:rPr>
          </w:pPr>
          <w:r w:rsidRPr="00922620">
            <w:rPr>
              <w:rFonts w:ascii="Arial" w:hAnsi="Arial" w:cs="Arial"/>
            </w:rPr>
            <w:t>HRP-</w:t>
          </w:r>
          <w:r>
            <w:rPr>
              <w:rFonts w:ascii="Arial" w:hAnsi="Arial" w:cs="Arial"/>
            </w:rPr>
            <w:t>910-R01</w:t>
          </w:r>
        </w:p>
      </w:tc>
      <w:tc>
        <w:tcPr>
          <w:tcW w:w="1117" w:type="dxa"/>
          <w:tcBorders>
            <w:top w:val="single" w:sz="8" w:space="0" w:color="auto"/>
            <w:left w:val="single" w:sz="8" w:space="0" w:color="auto"/>
            <w:bottom w:val="single" w:sz="8" w:space="0" w:color="auto"/>
            <w:right w:val="single" w:sz="8" w:space="0" w:color="auto"/>
          </w:tcBorders>
          <w:vAlign w:val="center"/>
        </w:tcPr>
        <w:p w14:paraId="4FDCBC74" w14:textId="1DCDE0E0" w:rsidR="00BB2C7C" w:rsidRPr="006520A8" w:rsidRDefault="00BB2C7C" w:rsidP="00464587">
          <w:pPr>
            <w:pStyle w:val="SOPTableEntry"/>
            <w:rPr>
              <w:rFonts w:ascii="Arial" w:hAnsi="Arial" w:cs="Arial"/>
            </w:rPr>
          </w:pPr>
          <w:r>
            <w:rPr>
              <w:rFonts w:ascii="Arial" w:hAnsi="Arial" w:cs="Arial"/>
              <w:noProof/>
            </w:rPr>
            <w:t>12/17/2020</w:t>
          </w:r>
        </w:p>
      </w:tc>
      <w:tc>
        <w:tcPr>
          <w:tcW w:w="1036" w:type="dxa"/>
          <w:tcBorders>
            <w:top w:val="single" w:sz="8" w:space="0" w:color="auto"/>
            <w:left w:val="single" w:sz="8" w:space="0" w:color="auto"/>
            <w:bottom w:val="single" w:sz="8" w:space="0" w:color="auto"/>
            <w:right w:val="single" w:sz="8" w:space="0" w:color="auto"/>
          </w:tcBorders>
        </w:tcPr>
        <w:p w14:paraId="31DD571F" w14:textId="77777777" w:rsidR="00BB2C7C" w:rsidRPr="006520A8" w:rsidRDefault="00BB2C7C" w:rsidP="00BB492C">
          <w:pPr>
            <w:pStyle w:val="SOPTableEntry"/>
            <w:rPr>
              <w:rFonts w:ascii="Arial" w:hAnsi="Arial" w:cs="Arial"/>
            </w:rPr>
          </w:pPr>
        </w:p>
      </w:tc>
      <w:tc>
        <w:tcPr>
          <w:tcW w:w="3062" w:type="dxa"/>
          <w:tcBorders>
            <w:top w:val="single" w:sz="8" w:space="0" w:color="auto"/>
            <w:left w:val="single" w:sz="8" w:space="0" w:color="auto"/>
            <w:bottom w:val="single" w:sz="8" w:space="0" w:color="auto"/>
            <w:right w:val="single" w:sz="8" w:space="0" w:color="auto"/>
          </w:tcBorders>
          <w:vAlign w:val="center"/>
        </w:tcPr>
        <w:p w14:paraId="6236849B" w14:textId="59E99345" w:rsidR="00BB2C7C" w:rsidRPr="006520A8" w:rsidRDefault="00BB2C7C" w:rsidP="00BB492C">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Pr>
              <w:rFonts w:ascii="Arial" w:hAnsi="Arial" w:cs="Arial"/>
              <w:noProof/>
            </w:rPr>
            <w:t>3</w:t>
          </w:r>
          <w:r w:rsidRPr="006520A8">
            <w:rPr>
              <w:rFonts w:ascii="Arial" w:hAnsi="Arial" w:cs="Arial"/>
            </w:rPr>
            <w:fldChar w:fldCharType="end"/>
          </w:r>
        </w:p>
      </w:tc>
    </w:tr>
  </w:tbl>
  <w:p w14:paraId="73B5279D" w14:textId="0A9657BA" w:rsidR="002D400D" w:rsidRPr="00BB492C" w:rsidRDefault="002D400D" w:rsidP="00BB4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A6A38A3"/>
    <w:multiLevelType w:val="multilevel"/>
    <w:tmpl w:val="2D5CA72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4" w15:restartNumberingAfterBreak="0">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F8C73E7"/>
    <w:multiLevelType w:val="hybridMultilevel"/>
    <w:tmpl w:val="4FC0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C379F"/>
    <w:multiLevelType w:val="hybridMultilevel"/>
    <w:tmpl w:val="F370D0DE"/>
    <w:lvl w:ilvl="0" w:tplc="BCB4D0E8">
      <w:start w:val="1"/>
      <w:numFmt w:val="bullet"/>
      <w:lvlText w:val=""/>
      <w:lvlJc w:val="left"/>
      <w:pPr>
        <w:ind w:left="720" w:hanging="360"/>
      </w:pPr>
      <w:rPr>
        <w:rFonts w:ascii="Wingdings" w:hAnsi="Wingdings" w:hint="default"/>
      </w:rPr>
    </w:lvl>
    <w:lvl w:ilvl="1" w:tplc="BCB4D0E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1" w15:restartNumberingAfterBreak="0">
    <w:nsid w:val="271934C2"/>
    <w:multiLevelType w:val="multilevel"/>
    <w:tmpl w:val="5A96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481B44"/>
    <w:multiLevelType w:val="hybridMultilevel"/>
    <w:tmpl w:val="509C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62434"/>
    <w:multiLevelType w:val="hybridMultilevel"/>
    <w:tmpl w:val="27D80256"/>
    <w:lvl w:ilvl="0" w:tplc="7040E5F2">
      <w:start w:val="1"/>
      <w:numFmt w:val="bullet"/>
      <w:pStyle w:val="List"/>
      <w:lvlText w:val=""/>
      <w:lvlJc w:val="left"/>
      <w:pPr>
        <w:ind w:left="108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D86FA0"/>
    <w:multiLevelType w:val="singleLevel"/>
    <w:tmpl w:val="5E008C54"/>
    <w:lvl w:ilvl="0">
      <w:start w:val="1"/>
      <w:numFmt w:val="upperRoman"/>
      <w:lvlText w:val="(%1)"/>
      <w:lvlJc w:val="left"/>
      <w:pPr>
        <w:tabs>
          <w:tab w:val="num" w:pos="1440"/>
        </w:tabs>
        <w:ind w:left="1440" w:hanging="720"/>
      </w:pPr>
      <w:rPr>
        <w:rFonts w:hint="default"/>
      </w:rPr>
    </w:lvl>
  </w:abstractNum>
  <w:abstractNum w:abstractNumId="26" w15:restartNumberingAfterBreak="0">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308581E"/>
    <w:multiLevelType w:val="multilevel"/>
    <w:tmpl w:val="0F4C3736"/>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630" w:firstLine="0"/>
      </w:pPr>
      <w:rPr>
        <w:rFonts w:hint="default"/>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32581F"/>
    <w:multiLevelType w:val="multilevel"/>
    <w:tmpl w:val="FE14C9F8"/>
    <w:lvl w:ilvl="0">
      <w:start w:val="30"/>
      <w:numFmt w:val="decimal"/>
      <w:lvlText w:val="%1.0"/>
      <w:lvlJc w:val="left"/>
      <w:pPr>
        <w:ind w:left="420" w:hanging="420"/>
      </w:pPr>
      <w:rPr>
        <w:rFonts w:ascii="NNFPLJ+TimesNewRoman" w:hAnsi="NNFPLJ+TimesNewRoman" w:hint="default"/>
        <w:color w:val="0000FF"/>
        <w:sz w:val="24"/>
        <w:u w:val="single"/>
      </w:rPr>
    </w:lvl>
    <w:lvl w:ilvl="1">
      <w:start w:val="1"/>
      <w:numFmt w:val="decimal"/>
      <w:lvlText w:val="%1.%2"/>
      <w:lvlJc w:val="left"/>
      <w:pPr>
        <w:ind w:left="1140" w:hanging="420"/>
      </w:pPr>
      <w:rPr>
        <w:rFonts w:ascii="NNFPLJ+TimesNewRoman" w:hAnsi="NNFPLJ+TimesNewRoman" w:hint="default"/>
        <w:color w:val="0000FF"/>
        <w:sz w:val="24"/>
        <w:u w:val="single"/>
      </w:rPr>
    </w:lvl>
    <w:lvl w:ilvl="2">
      <w:start w:val="1"/>
      <w:numFmt w:val="decimal"/>
      <w:lvlText w:val="%1.%2.%3"/>
      <w:lvlJc w:val="left"/>
      <w:pPr>
        <w:ind w:left="2160" w:hanging="720"/>
      </w:pPr>
      <w:rPr>
        <w:rFonts w:ascii="NNFPLJ+TimesNewRoman" w:hAnsi="NNFPLJ+TimesNewRoman" w:hint="default"/>
        <w:color w:val="0000FF"/>
        <w:sz w:val="24"/>
        <w:u w:val="single"/>
      </w:rPr>
    </w:lvl>
    <w:lvl w:ilvl="3">
      <w:start w:val="1"/>
      <w:numFmt w:val="decimal"/>
      <w:lvlText w:val="%1.%2.%3.%4"/>
      <w:lvlJc w:val="left"/>
      <w:pPr>
        <w:ind w:left="3240" w:hanging="1080"/>
      </w:pPr>
      <w:rPr>
        <w:rFonts w:ascii="NNFPLJ+TimesNewRoman" w:hAnsi="NNFPLJ+TimesNewRoman" w:hint="default"/>
        <w:color w:val="0000FF"/>
        <w:sz w:val="24"/>
        <w:u w:val="single"/>
      </w:rPr>
    </w:lvl>
    <w:lvl w:ilvl="4">
      <w:start w:val="1"/>
      <w:numFmt w:val="decimal"/>
      <w:lvlText w:val="%1.%2.%3.%4.%5"/>
      <w:lvlJc w:val="left"/>
      <w:pPr>
        <w:ind w:left="3960" w:hanging="1080"/>
      </w:pPr>
      <w:rPr>
        <w:rFonts w:ascii="NNFPLJ+TimesNewRoman" w:hAnsi="NNFPLJ+TimesNewRoman" w:hint="default"/>
        <w:color w:val="0000FF"/>
        <w:sz w:val="24"/>
        <w:u w:val="single"/>
      </w:rPr>
    </w:lvl>
    <w:lvl w:ilvl="5">
      <w:start w:val="1"/>
      <w:numFmt w:val="decimal"/>
      <w:lvlText w:val="%1.%2.%3.%4.%5.%6"/>
      <w:lvlJc w:val="left"/>
      <w:pPr>
        <w:ind w:left="5040" w:hanging="1440"/>
      </w:pPr>
      <w:rPr>
        <w:rFonts w:ascii="NNFPLJ+TimesNewRoman" w:hAnsi="NNFPLJ+TimesNewRoman" w:hint="default"/>
        <w:color w:val="0000FF"/>
        <w:sz w:val="24"/>
        <w:u w:val="single"/>
      </w:rPr>
    </w:lvl>
    <w:lvl w:ilvl="6">
      <w:start w:val="1"/>
      <w:numFmt w:val="decimal"/>
      <w:lvlText w:val="%1.%2.%3.%4.%5.%6.%7"/>
      <w:lvlJc w:val="left"/>
      <w:pPr>
        <w:ind w:left="5760" w:hanging="1440"/>
      </w:pPr>
      <w:rPr>
        <w:rFonts w:ascii="NNFPLJ+TimesNewRoman" w:hAnsi="NNFPLJ+TimesNewRoman" w:hint="default"/>
        <w:color w:val="0000FF"/>
        <w:sz w:val="24"/>
        <w:u w:val="single"/>
      </w:rPr>
    </w:lvl>
    <w:lvl w:ilvl="7">
      <w:start w:val="1"/>
      <w:numFmt w:val="decimal"/>
      <w:lvlText w:val="%1.%2.%3.%4.%5.%6.%7.%8"/>
      <w:lvlJc w:val="left"/>
      <w:pPr>
        <w:ind w:left="6840" w:hanging="1800"/>
      </w:pPr>
      <w:rPr>
        <w:rFonts w:ascii="NNFPLJ+TimesNewRoman" w:hAnsi="NNFPLJ+TimesNewRoman" w:hint="default"/>
        <w:color w:val="0000FF"/>
        <w:sz w:val="24"/>
        <w:u w:val="single"/>
      </w:rPr>
    </w:lvl>
    <w:lvl w:ilvl="8">
      <w:start w:val="1"/>
      <w:numFmt w:val="decimal"/>
      <w:lvlText w:val="%1.%2.%3.%4.%5.%6.%7.%8.%9"/>
      <w:lvlJc w:val="left"/>
      <w:pPr>
        <w:ind w:left="7920" w:hanging="2160"/>
      </w:pPr>
      <w:rPr>
        <w:rFonts w:ascii="NNFPLJ+TimesNewRoman" w:hAnsi="NNFPLJ+TimesNewRoman" w:hint="default"/>
        <w:color w:val="0000FF"/>
        <w:sz w:val="24"/>
        <w:u w:val="single"/>
      </w:rPr>
    </w:lvl>
  </w:abstractNum>
  <w:abstractNum w:abstractNumId="31" w15:restartNumberingAfterBreak="0">
    <w:nsid w:val="7D21255E"/>
    <w:multiLevelType w:val="hybridMultilevel"/>
    <w:tmpl w:val="775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FD65E7"/>
    <w:multiLevelType w:val="hybridMultilevel"/>
    <w:tmpl w:val="2D50A8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9"/>
  </w:num>
  <w:num w:numId="2">
    <w:abstractNumId w:val="2"/>
  </w:num>
  <w:num w:numId="3">
    <w:abstractNumId w:val="1"/>
  </w:num>
  <w:num w:numId="4">
    <w:abstractNumId w:val="0"/>
  </w:num>
  <w:num w:numId="5">
    <w:abstractNumId w:val="7"/>
  </w:num>
  <w:num w:numId="6">
    <w:abstractNumId w:val="22"/>
  </w:num>
  <w:num w:numId="7">
    <w:abstractNumId w:val="10"/>
  </w:num>
  <w:num w:numId="8">
    <w:abstractNumId w:val="17"/>
  </w:num>
  <w:num w:numId="9">
    <w:abstractNumId w:val="20"/>
  </w:num>
  <w:num w:numId="10">
    <w:abstractNumId w:val="13"/>
  </w:num>
  <w:num w:numId="11">
    <w:abstractNumId w:val="4"/>
  </w:num>
  <w:num w:numId="12">
    <w:abstractNumId w:val="14"/>
  </w:num>
  <w:num w:numId="13">
    <w:abstractNumId w:val="16"/>
  </w:num>
  <w:num w:numId="14">
    <w:abstractNumId w:val="27"/>
  </w:num>
  <w:num w:numId="15">
    <w:abstractNumId w:val="31"/>
  </w:num>
  <w:num w:numId="16">
    <w:abstractNumId w:val="28"/>
  </w:num>
  <w:num w:numId="17">
    <w:abstractNumId w:val="19"/>
  </w:num>
  <w:num w:numId="18">
    <w:abstractNumId w:val="12"/>
  </w:num>
  <w:num w:numId="19">
    <w:abstractNumId w:val="18"/>
  </w:num>
  <w:num w:numId="20">
    <w:abstractNumId w:val="15"/>
  </w:num>
  <w:num w:numId="21">
    <w:abstractNumId w:val="6"/>
  </w:num>
  <w:num w:numId="22">
    <w:abstractNumId w:val="24"/>
  </w:num>
  <w:num w:numId="23">
    <w:abstractNumId w:val="26"/>
  </w:num>
  <w:num w:numId="24">
    <w:abstractNumId w:val="5"/>
  </w:num>
  <w:num w:numId="25">
    <w:abstractNumId w:val="30"/>
  </w:num>
  <w:num w:numId="26">
    <w:abstractNumId w:val="32"/>
  </w:num>
  <w:num w:numId="27">
    <w:abstractNumId w:val="21"/>
  </w:num>
  <w:num w:numId="28">
    <w:abstractNumId w:val="9"/>
  </w:num>
  <w:num w:numId="29">
    <w:abstractNumId w:val="8"/>
  </w:num>
  <w:num w:numId="30">
    <w:abstractNumId w:val="23"/>
  </w:num>
  <w:num w:numId="31">
    <w:abstractNumId w:val="25"/>
  </w:num>
  <w:num w:numId="32">
    <w:abstractNumId w:val="3"/>
  </w:num>
  <w:num w:numId="3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022755E-7263-41B7-9B23-8E738C1B9A25}"/>
    <w:docVar w:name="dgnword-eventsink" w:val="186254352"/>
  </w:docVars>
  <w:rsids>
    <w:rsidRoot w:val="007C0AA4"/>
    <w:rsid w:val="00007433"/>
    <w:rsid w:val="000121C3"/>
    <w:rsid w:val="000138F9"/>
    <w:rsid w:val="000176CD"/>
    <w:rsid w:val="00021416"/>
    <w:rsid w:val="00023A81"/>
    <w:rsid w:val="000305D7"/>
    <w:rsid w:val="00033F6D"/>
    <w:rsid w:val="00034B6D"/>
    <w:rsid w:val="00043EC2"/>
    <w:rsid w:val="00053DC2"/>
    <w:rsid w:val="00053E55"/>
    <w:rsid w:val="000623B7"/>
    <w:rsid w:val="000651A8"/>
    <w:rsid w:val="00065BEE"/>
    <w:rsid w:val="000678E0"/>
    <w:rsid w:val="00080915"/>
    <w:rsid w:val="0008389B"/>
    <w:rsid w:val="000843E7"/>
    <w:rsid w:val="000937AB"/>
    <w:rsid w:val="00093D0C"/>
    <w:rsid w:val="00095B99"/>
    <w:rsid w:val="000A0D2E"/>
    <w:rsid w:val="000A3196"/>
    <w:rsid w:val="000B398E"/>
    <w:rsid w:val="000B5743"/>
    <w:rsid w:val="000C0B9D"/>
    <w:rsid w:val="000D3591"/>
    <w:rsid w:val="000D3F01"/>
    <w:rsid w:val="000D5A03"/>
    <w:rsid w:val="000E16F0"/>
    <w:rsid w:val="000E1FF1"/>
    <w:rsid w:val="000E3478"/>
    <w:rsid w:val="000E6F07"/>
    <w:rsid w:val="000F7148"/>
    <w:rsid w:val="000F79E3"/>
    <w:rsid w:val="00107ABC"/>
    <w:rsid w:val="0011070A"/>
    <w:rsid w:val="001107C4"/>
    <w:rsid w:val="00112B22"/>
    <w:rsid w:val="00112FF7"/>
    <w:rsid w:val="0011551B"/>
    <w:rsid w:val="00124545"/>
    <w:rsid w:val="001351F7"/>
    <w:rsid w:val="00144D74"/>
    <w:rsid w:val="00146A7C"/>
    <w:rsid w:val="00155AFC"/>
    <w:rsid w:val="00157280"/>
    <w:rsid w:val="00161E74"/>
    <w:rsid w:val="00170049"/>
    <w:rsid w:val="00173091"/>
    <w:rsid w:val="00186FE5"/>
    <w:rsid w:val="00193A08"/>
    <w:rsid w:val="00194D67"/>
    <w:rsid w:val="001A5F22"/>
    <w:rsid w:val="001B56EF"/>
    <w:rsid w:val="001B678E"/>
    <w:rsid w:val="001B6D07"/>
    <w:rsid w:val="001C0528"/>
    <w:rsid w:val="001C15EC"/>
    <w:rsid w:val="001C5D9B"/>
    <w:rsid w:val="001C7854"/>
    <w:rsid w:val="001E2287"/>
    <w:rsid w:val="001E29F0"/>
    <w:rsid w:val="001E7891"/>
    <w:rsid w:val="001F0140"/>
    <w:rsid w:val="001F42CB"/>
    <w:rsid w:val="0020066F"/>
    <w:rsid w:val="00217B63"/>
    <w:rsid w:val="002273CB"/>
    <w:rsid w:val="002307C4"/>
    <w:rsid w:val="00233095"/>
    <w:rsid w:val="002463C6"/>
    <w:rsid w:val="00246B3A"/>
    <w:rsid w:val="002575CD"/>
    <w:rsid w:val="002607F3"/>
    <w:rsid w:val="00262C07"/>
    <w:rsid w:val="0026513D"/>
    <w:rsid w:val="00282878"/>
    <w:rsid w:val="002847E3"/>
    <w:rsid w:val="00292E8F"/>
    <w:rsid w:val="002A08FD"/>
    <w:rsid w:val="002A78FB"/>
    <w:rsid w:val="002B1D4E"/>
    <w:rsid w:val="002C742B"/>
    <w:rsid w:val="002D400D"/>
    <w:rsid w:val="002E6621"/>
    <w:rsid w:val="002F75AE"/>
    <w:rsid w:val="0032245B"/>
    <w:rsid w:val="0032353B"/>
    <w:rsid w:val="00334106"/>
    <w:rsid w:val="0034056D"/>
    <w:rsid w:val="003603DC"/>
    <w:rsid w:val="00362C8E"/>
    <w:rsid w:val="003667C2"/>
    <w:rsid w:val="00371D8D"/>
    <w:rsid w:val="00393FAF"/>
    <w:rsid w:val="003973F9"/>
    <w:rsid w:val="00397991"/>
    <w:rsid w:val="003A1B95"/>
    <w:rsid w:val="003A5160"/>
    <w:rsid w:val="003B0698"/>
    <w:rsid w:val="003B485B"/>
    <w:rsid w:val="003C3F10"/>
    <w:rsid w:val="003C7115"/>
    <w:rsid w:val="003D6E02"/>
    <w:rsid w:val="003E547F"/>
    <w:rsid w:val="003E76C9"/>
    <w:rsid w:val="003F1AC6"/>
    <w:rsid w:val="004029DF"/>
    <w:rsid w:val="00406E29"/>
    <w:rsid w:val="004110A0"/>
    <w:rsid w:val="00414011"/>
    <w:rsid w:val="00416A41"/>
    <w:rsid w:val="00420535"/>
    <w:rsid w:val="00422FB1"/>
    <w:rsid w:val="0043279F"/>
    <w:rsid w:val="00440B1C"/>
    <w:rsid w:val="0044690C"/>
    <w:rsid w:val="00463A0F"/>
    <w:rsid w:val="00464587"/>
    <w:rsid w:val="0048231F"/>
    <w:rsid w:val="00486AA0"/>
    <w:rsid w:val="00490BEB"/>
    <w:rsid w:val="00491ED1"/>
    <w:rsid w:val="0049704B"/>
    <w:rsid w:val="004A59AB"/>
    <w:rsid w:val="004B05BE"/>
    <w:rsid w:val="004B6AF4"/>
    <w:rsid w:val="004C1B6C"/>
    <w:rsid w:val="004C3F3E"/>
    <w:rsid w:val="004C783B"/>
    <w:rsid w:val="004C791F"/>
    <w:rsid w:val="004D0FB5"/>
    <w:rsid w:val="004D2C49"/>
    <w:rsid w:val="004D362E"/>
    <w:rsid w:val="004D68A9"/>
    <w:rsid w:val="004E65B9"/>
    <w:rsid w:val="004F127A"/>
    <w:rsid w:val="004F2BAF"/>
    <w:rsid w:val="004F2C74"/>
    <w:rsid w:val="00504FF6"/>
    <w:rsid w:val="00505CEA"/>
    <w:rsid w:val="00507E44"/>
    <w:rsid w:val="00513EB6"/>
    <w:rsid w:val="005143F4"/>
    <w:rsid w:val="00522E61"/>
    <w:rsid w:val="00526A73"/>
    <w:rsid w:val="00532C8C"/>
    <w:rsid w:val="005404EF"/>
    <w:rsid w:val="0054057D"/>
    <w:rsid w:val="005417F2"/>
    <w:rsid w:val="00550D01"/>
    <w:rsid w:val="0055294B"/>
    <w:rsid w:val="0055384E"/>
    <w:rsid w:val="00554E94"/>
    <w:rsid w:val="005716E4"/>
    <w:rsid w:val="005740E4"/>
    <w:rsid w:val="005876D6"/>
    <w:rsid w:val="00590A69"/>
    <w:rsid w:val="00594D81"/>
    <w:rsid w:val="005A06C9"/>
    <w:rsid w:val="005A5B75"/>
    <w:rsid w:val="005B775F"/>
    <w:rsid w:val="005C2666"/>
    <w:rsid w:val="005C616A"/>
    <w:rsid w:val="005C6E9A"/>
    <w:rsid w:val="005C7DFD"/>
    <w:rsid w:val="005D0386"/>
    <w:rsid w:val="005D2B4B"/>
    <w:rsid w:val="005D6639"/>
    <w:rsid w:val="005D7ADF"/>
    <w:rsid w:val="005E19A0"/>
    <w:rsid w:val="005E1F7C"/>
    <w:rsid w:val="005E1F8E"/>
    <w:rsid w:val="005F1D0E"/>
    <w:rsid w:val="005F6C5E"/>
    <w:rsid w:val="00615746"/>
    <w:rsid w:val="0062269A"/>
    <w:rsid w:val="00627303"/>
    <w:rsid w:val="00630E45"/>
    <w:rsid w:val="00631E6C"/>
    <w:rsid w:val="0064063A"/>
    <w:rsid w:val="00646DEB"/>
    <w:rsid w:val="00647502"/>
    <w:rsid w:val="00652C8B"/>
    <w:rsid w:val="0065504D"/>
    <w:rsid w:val="00675BAE"/>
    <w:rsid w:val="006772EE"/>
    <w:rsid w:val="00691CCC"/>
    <w:rsid w:val="006A0519"/>
    <w:rsid w:val="006A7B8B"/>
    <w:rsid w:val="006B08BE"/>
    <w:rsid w:val="006B1BDD"/>
    <w:rsid w:val="006B348B"/>
    <w:rsid w:val="006E60CE"/>
    <w:rsid w:val="00702B45"/>
    <w:rsid w:val="00705DDD"/>
    <w:rsid w:val="007067C9"/>
    <w:rsid w:val="00706D33"/>
    <w:rsid w:val="00717AF1"/>
    <w:rsid w:val="00720F57"/>
    <w:rsid w:val="00744885"/>
    <w:rsid w:val="00751352"/>
    <w:rsid w:val="00751BF3"/>
    <w:rsid w:val="00764A14"/>
    <w:rsid w:val="0077440D"/>
    <w:rsid w:val="007754FA"/>
    <w:rsid w:val="007864B2"/>
    <w:rsid w:val="007909C3"/>
    <w:rsid w:val="00792B83"/>
    <w:rsid w:val="00797723"/>
    <w:rsid w:val="007A1785"/>
    <w:rsid w:val="007A24A2"/>
    <w:rsid w:val="007A4BF3"/>
    <w:rsid w:val="007B02DD"/>
    <w:rsid w:val="007B27A2"/>
    <w:rsid w:val="007C0AA4"/>
    <w:rsid w:val="007C4F23"/>
    <w:rsid w:val="007C5509"/>
    <w:rsid w:val="007C5B2A"/>
    <w:rsid w:val="007C7E52"/>
    <w:rsid w:val="007D5981"/>
    <w:rsid w:val="007D64C3"/>
    <w:rsid w:val="007F105E"/>
    <w:rsid w:val="007F16CA"/>
    <w:rsid w:val="007F3807"/>
    <w:rsid w:val="007F411D"/>
    <w:rsid w:val="0080595F"/>
    <w:rsid w:val="008067FE"/>
    <w:rsid w:val="00811473"/>
    <w:rsid w:val="00814788"/>
    <w:rsid w:val="00825FAD"/>
    <w:rsid w:val="00834531"/>
    <w:rsid w:val="00834A5D"/>
    <w:rsid w:val="008458D3"/>
    <w:rsid w:val="00846AFD"/>
    <w:rsid w:val="0085079A"/>
    <w:rsid w:val="008603AC"/>
    <w:rsid w:val="0086086D"/>
    <w:rsid w:val="00877A28"/>
    <w:rsid w:val="0088163E"/>
    <w:rsid w:val="00882B32"/>
    <w:rsid w:val="008835DF"/>
    <w:rsid w:val="008A2A5B"/>
    <w:rsid w:val="008A3B86"/>
    <w:rsid w:val="008B3A43"/>
    <w:rsid w:val="008B69F7"/>
    <w:rsid w:val="008C1F2B"/>
    <w:rsid w:val="008C20C9"/>
    <w:rsid w:val="008C5C71"/>
    <w:rsid w:val="008C6F3B"/>
    <w:rsid w:val="008D3665"/>
    <w:rsid w:val="008D6ADE"/>
    <w:rsid w:val="008D7AA0"/>
    <w:rsid w:val="008E2D25"/>
    <w:rsid w:val="008E38A9"/>
    <w:rsid w:val="008F33BA"/>
    <w:rsid w:val="008F6401"/>
    <w:rsid w:val="009046FC"/>
    <w:rsid w:val="00905EEA"/>
    <w:rsid w:val="00922DC2"/>
    <w:rsid w:val="00926918"/>
    <w:rsid w:val="00931414"/>
    <w:rsid w:val="009334F8"/>
    <w:rsid w:val="00933FEE"/>
    <w:rsid w:val="0094492F"/>
    <w:rsid w:val="00947F2F"/>
    <w:rsid w:val="00957EA4"/>
    <w:rsid w:val="00965EE8"/>
    <w:rsid w:val="009668D0"/>
    <w:rsid w:val="0097446D"/>
    <w:rsid w:val="0098080A"/>
    <w:rsid w:val="00997964"/>
    <w:rsid w:val="009A2408"/>
    <w:rsid w:val="009A27D6"/>
    <w:rsid w:val="009B16A2"/>
    <w:rsid w:val="009B4D64"/>
    <w:rsid w:val="009C2208"/>
    <w:rsid w:val="009C559D"/>
    <w:rsid w:val="009C650D"/>
    <w:rsid w:val="009C74B0"/>
    <w:rsid w:val="009D0BDB"/>
    <w:rsid w:val="009D0CF9"/>
    <w:rsid w:val="009E0ADE"/>
    <w:rsid w:val="009E5D86"/>
    <w:rsid w:val="009E6504"/>
    <w:rsid w:val="009F0F8B"/>
    <w:rsid w:val="009F51D5"/>
    <w:rsid w:val="00A01D71"/>
    <w:rsid w:val="00A0209C"/>
    <w:rsid w:val="00A06236"/>
    <w:rsid w:val="00A102C8"/>
    <w:rsid w:val="00A11779"/>
    <w:rsid w:val="00A14320"/>
    <w:rsid w:val="00A14A12"/>
    <w:rsid w:val="00A203E7"/>
    <w:rsid w:val="00A20B4C"/>
    <w:rsid w:val="00A23DAC"/>
    <w:rsid w:val="00A2762D"/>
    <w:rsid w:val="00A42FB8"/>
    <w:rsid w:val="00A4351F"/>
    <w:rsid w:val="00A51025"/>
    <w:rsid w:val="00A57602"/>
    <w:rsid w:val="00A63EF9"/>
    <w:rsid w:val="00A66062"/>
    <w:rsid w:val="00A72848"/>
    <w:rsid w:val="00A8226D"/>
    <w:rsid w:val="00A875CD"/>
    <w:rsid w:val="00A92272"/>
    <w:rsid w:val="00A933D0"/>
    <w:rsid w:val="00A969E1"/>
    <w:rsid w:val="00A9787E"/>
    <w:rsid w:val="00AA2384"/>
    <w:rsid w:val="00AA3C08"/>
    <w:rsid w:val="00AA5C9F"/>
    <w:rsid w:val="00AB2776"/>
    <w:rsid w:val="00AB2CE5"/>
    <w:rsid w:val="00AB4F0F"/>
    <w:rsid w:val="00AD03CE"/>
    <w:rsid w:val="00AD2044"/>
    <w:rsid w:val="00AE250E"/>
    <w:rsid w:val="00AE3058"/>
    <w:rsid w:val="00AE5827"/>
    <w:rsid w:val="00AE7926"/>
    <w:rsid w:val="00AF4E56"/>
    <w:rsid w:val="00AF67C7"/>
    <w:rsid w:val="00B03693"/>
    <w:rsid w:val="00B10D05"/>
    <w:rsid w:val="00B23693"/>
    <w:rsid w:val="00B2556D"/>
    <w:rsid w:val="00B2636D"/>
    <w:rsid w:val="00B4130B"/>
    <w:rsid w:val="00B42158"/>
    <w:rsid w:val="00B57B69"/>
    <w:rsid w:val="00B65ECA"/>
    <w:rsid w:val="00B71B8F"/>
    <w:rsid w:val="00B7531C"/>
    <w:rsid w:val="00B834C5"/>
    <w:rsid w:val="00B96607"/>
    <w:rsid w:val="00BA669D"/>
    <w:rsid w:val="00BB2C26"/>
    <w:rsid w:val="00BB2C7C"/>
    <w:rsid w:val="00BB492C"/>
    <w:rsid w:val="00BD1366"/>
    <w:rsid w:val="00BD44EF"/>
    <w:rsid w:val="00BF0045"/>
    <w:rsid w:val="00BF1D11"/>
    <w:rsid w:val="00BF5A42"/>
    <w:rsid w:val="00C00E89"/>
    <w:rsid w:val="00C011C1"/>
    <w:rsid w:val="00C246B8"/>
    <w:rsid w:val="00C25F68"/>
    <w:rsid w:val="00C30908"/>
    <w:rsid w:val="00C3310A"/>
    <w:rsid w:val="00C406EA"/>
    <w:rsid w:val="00C55802"/>
    <w:rsid w:val="00C57243"/>
    <w:rsid w:val="00C719E4"/>
    <w:rsid w:val="00C740CF"/>
    <w:rsid w:val="00C763C7"/>
    <w:rsid w:val="00C94D46"/>
    <w:rsid w:val="00CA0CB1"/>
    <w:rsid w:val="00CA1C21"/>
    <w:rsid w:val="00CB691B"/>
    <w:rsid w:val="00CD6881"/>
    <w:rsid w:val="00CF56B7"/>
    <w:rsid w:val="00CF774A"/>
    <w:rsid w:val="00D03582"/>
    <w:rsid w:val="00D11493"/>
    <w:rsid w:val="00D12AAB"/>
    <w:rsid w:val="00D14278"/>
    <w:rsid w:val="00D2299F"/>
    <w:rsid w:val="00D25F31"/>
    <w:rsid w:val="00D305B9"/>
    <w:rsid w:val="00D40D23"/>
    <w:rsid w:val="00D43447"/>
    <w:rsid w:val="00D46D6A"/>
    <w:rsid w:val="00D47D5A"/>
    <w:rsid w:val="00D50E0C"/>
    <w:rsid w:val="00D5513B"/>
    <w:rsid w:val="00D557AD"/>
    <w:rsid w:val="00D70764"/>
    <w:rsid w:val="00D848CC"/>
    <w:rsid w:val="00D84A6C"/>
    <w:rsid w:val="00D91903"/>
    <w:rsid w:val="00D94D6B"/>
    <w:rsid w:val="00D95507"/>
    <w:rsid w:val="00D97247"/>
    <w:rsid w:val="00DA2F5F"/>
    <w:rsid w:val="00DA5014"/>
    <w:rsid w:val="00DC0C20"/>
    <w:rsid w:val="00DC23E3"/>
    <w:rsid w:val="00DD5D1F"/>
    <w:rsid w:val="00DE1731"/>
    <w:rsid w:val="00DE529E"/>
    <w:rsid w:val="00DF3CDD"/>
    <w:rsid w:val="00DF3D3D"/>
    <w:rsid w:val="00E13167"/>
    <w:rsid w:val="00E16050"/>
    <w:rsid w:val="00E205A2"/>
    <w:rsid w:val="00E23C37"/>
    <w:rsid w:val="00E25AC4"/>
    <w:rsid w:val="00E2733F"/>
    <w:rsid w:val="00E277A0"/>
    <w:rsid w:val="00E37DE4"/>
    <w:rsid w:val="00E52214"/>
    <w:rsid w:val="00E64921"/>
    <w:rsid w:val="00E66054"/>
    <w:rsid w:val="00E73464"/>
    <w:rsid w:val="00E95566"/>
    <w:rsid w:val="00E970A6"/>
    <w:rsid w:val="00E97D14"/>
    <w:rsid w:val="00EA2720"/>
    <w:rsid w:val="00EA3F78"/>
    <w:rsid w:val="00EA478F"/>
    <w:rsid w:val="00EA71BB"/>
    <w:rsid w:val="00EA7A20"/>
    <w:rsid w:val="00EB0C27"/>
    <w:rsid w:val="00EB6306"/>
    <w:rsid w:val="00EC0039"/>
    <w:rsid w:val="00EC4C81"/>
    <w:rsid w:val="00EE6AD4"/>
    <w:rsid w:val="00EF6FA0"/>
    <w:rsid w:val="00F05799"/>
    <w:rsid w:val="00F06268"/>
    <w:rsid w:val="00F14A9E"/>
    <w:rsid w:val="00F20768"/>
    <w:rsid w:val="00F23D6C"/>
    <w:rsid w:val="00F26F71"/>
    <w:rsid w:val="00F317BA"/>
    <w:rsid w:val="00F44097"/>
    <w:rsid w:val="00F5525C"/>
    <w:rsid w:val="00F56C1D"/>
    <w:rsid w:val="00F63842"/>
    <w:rsid w:val="00F7095B"/>
    <w:rsid w:val="00F902F4"/>
    <w:rsid w:val="00F91B70"/>
    <w:rsid w:val="00F91F71"/>
    <w:rsid w:val="00F93A0E"/>
    <w:rsid w:val="00FA08B5"/>
    <w:rsid w:val="00FA3554"/>
    <w:rsid w:val="00FA5370"/>
    <w:rsid w:val="00FA7CD3"/>
    <w:rsid w:val="00FB1A7D"/>
    <w:rsid w:val="00FB1C3A"/>
    <w:rsid w:val="00FB1D74"/>
    <w:rsid w:val="00FB28EB"/>
    <w:rsid w:val="00FB438E"/>
    <w:rsid w:val="00FB65CC"/>
    <w:rsid w:val="00FC0477"/>
    <w:rsid w:val="00FC306F"/>
    <w:rsid w:val="00FC47CD"/>
    <w:rsid w:val="00FC7740"/>
    <w:rsid w:val="00FD10E5"/>
    <w:rsid w:val="00FD1B1B"/>
    <w:rsid w:val="00FE2286"/>
    <w:rsid w:val="00FE51F7"/>
    <w:rsid w:val="00FF2996"/>
    <w:rsid w:val="00FF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F4BCDF"/>
  <w15:docId w15:val="{AB622EFE-081E-49B8-BAC7-BE7483C6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1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link w:val="HeaderChar"/>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semiHidden/>
    <w:rsid w:val="009D0BDB"/>
    <w:rPr>
      <w:sz w:val="16"/>
      <w:szCs w:val="16"/>
    </w:rPr>
  </w:style>
  <w:style w:type="paragraph" w:styleId="CommentText">
    <w:name w:val="annotation text"/>
    <w:basedOn w:val="Normal"/>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paragraph" w:styleId="Revision">
    <w:name w:val="Revision"/>
    <w:hidden/>
    <w:uiPriority w:val="99"/>
    <w:semiHidden/>
    <w:rsid w:val="00023A81"/>
    <w:rPr>
      <w:rFonts w:ascii="NNFPLJ+TimesNewRoman" w:hAnsi="NNFPLJ+TimesNewRoman"/>
      <w:sz w:val="24"/>
      <w:szCs w:val="24"/>
    </w:rPr>
  </w:style>
  <w:style w:type="character" w:customStyle="1" w:styleId="HeaderChar">
    <w:name w:val="Header Char"/>
    <w:basedOn w:val="DefaultParagraphFont"/>
    <w:link w:val="Header"/>
    <w:rsid w:val="002D400D"/>
    <w:rPr>
      <w:rFonts w:ascii="NNFPLJ+TimesNewRoman" w:hAnsi="NNFPLJ+TimesNewRoman"/>
      <w:sz w:val="24"/>
      <w:szCs w:val="24"/>
    </w:rPr>
  </w:style>
  <w:style w:type="character" w:customStyle="1" w:styleId="SOPLeader">
    <w:name w:val="SOP Leader"/>
    <w:rsid w:val="00BB492C"/>
    <w:rPr>
      <w:rFonts w:ascii="Calibri" w:hAnsi="Calibri"/>
      <w:b/>
      <w:sz w:val="24"/>
    </w:rPr>
  </w:style>
  <w:style w:type="paragraph" w:customStyle="1" w:styleId="SOPName">
    <w:name w:val="SOP Name"/>
    <w:basedOn w:val="Normal"/>
    <w:rsid w:val="00BB492C"/>
    <w:pPr>
      <w:autoSpaceDE/>
      <w:autoSpaceDN/>
      <w:adjustRightInd/>
    </w:pPr>
    <w:rPr>
      <w:rFonts w:ascii="Calibri" w:hAnsi="Calibri" w:cs="Tahoma"/>
      <w:szCs w:val="20"/>
    </w:rPr>
  </w:style>
  <w:style w:type="paragraph" w:customStyle="1" w:styleId="SOPTableHeader">
    <w:name w:val="SOP Table Header"/>
    <w:basedOn w:val="Normal"/>
    <w:rsid w:val="00BB492C"/>
    <w:pPr>
      <w:autoSpaceDE/>
      <w:autoSpaceDN/>
      <w:adjustRightInd/>
      <w:jc w:val="center"/>
    </w:pPr>
    <w:rPr>
      <w:rFonts w:ascii="Calibri" w:hAnsi="Calibri" w:cs="Tahoma"/>
      <w:sz w:val="20"/>
      <w:szCs w:val="20"/>
    </w:rPr>
  </w:style>
  <w:style w:type="paragraph" w:customStyle="1" w:styleId="SOPTableEntry">
    <w:name w:val="SOP Table Entry"/>
    <w:basedOn w:val="SOPTableHeader"/>
    <w:rsid w:val="00BB492C"/>
    <w:rPr>
      <w:sz w:val="18"/>
    </w:rPr>
  </w:style>
  <w:style w:type="paragraph" w:customStyle="1" w:styleId="SOPLevel1">
    <w:name w:val="SOP Level 1"/>
    <w:basedOn w:val="Normal"/>
    <w:rsid w:val="00D11493"/>
    <w:pPr>
      <w:numPr>
        <w:numId w:val="30"/>
      </w:numPr>
      <w:autoSpaceDE/>
      <w:autoSpaceDN/>
      <w:adjustRightInd/>
      <w:spacing w:before="40" w:after="40"/>
    </w:pPr>
    <w:rPr>
      <w:rFonts w:ascii="Arial" w:hAnsi="Arial" w:cs="Tahoma"/>
      <w:b/>
      <w:sz w:val="20"/>
    </w:rPr>
  </w:style>
  <w:style w:type="paragraph" w:customStyle="1" w:styleId="SOPLevel2">
    <w:name w:val="SOP Level 2"/>
    <w:basedOn w:val="SOPLevel1"/>
    <w:rsid w:val="00D11493"/>
    <w:pPr>
      <w:numPr>
        <w:ilvl w:val="1"/>
      </w:numPr>
      <w:spacing w:before="20" w:after="20"/>
      <w:ind w:left="936" w:hanging="576"/>
    </w:pPr>
    <w:rPr>
      <w:b w:val="0"/>
    </w:rPr>
  </w:style>
  <w:style w:type="paragraph" w:customStyle="1" w:styleId="SOPLevel3">
    <w:name w:val="SOP Level 3"/>
    <w:basedOn w:val="SOPLevel2"/>
    <w:rsid w:val="00D11493"/>
    <w:pPr>
      <w:numPr>
        <w:ilvl w:val="2"/>
      </w:numPr>
      <w:ind w:left="1728" w:hanging="792"/>
    </w:pPr>
  </w:style>
  <w:style w:type="paragraph" w:customStyle="1" w:styleId="SOPLevel4">
    <w:name w:val="SOP Level 4"/>
    <w:basedOn w:val="SOPLevel3"/>
    <w:rsid w:val="00D11493"/>
    <w:pPr>
      <w:numPr>
        <w:ilvl w:val="3"/>
      </w:numPr>
      <w:tabs>
        <w:tab w:val="clear" w:pos="2898"/>
        <w:tab w:val="num" w:pos="2700"/>
      </w:tabs>
      <w:ind w:left="2736" w:hanging="1008"/>
    </w:pPr>
  </w:style>
  <w:style w:type="paragraph" w:customStyle="1" w:styleId="SOPLevel5">
    <w:name w:val="SOP Level 5"/>
    <w:basedOn w:val="SOPLevel4"/>
    <w:rsid w:val="00D11493"/>
    <w:pPr>
      <w:numPr>
        <w:ilvl w:val="4"/>
      </w:numPr>
      <w:ind w:left="3960" w:hanging="1224"/>
    </w:pPr>
  </w:style>
  <w:style w:type="paragraph" w:customStyle="1" w:styleId="SOPLevel6">
    <w:name w:val="SOP Level 6"/>
    <w:basedOn w:val="SOPLevel5"/>
    <w:rsid w:val="00D11493"/>
    <w:pPr>
      <w:numPr>
        <w:ilvl w:val="5"/>
      </w:numPr>
      <w:ind w:left="5400" w:hanging="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414BC-7A58-4E4F-8A87-74AFD3243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E5281-3B2A-4057-AA11-99B2C76A6082}">
  <ds:schemaRefs>
    <ds:schemaRef ds:uri="http://schemas.microsoft.com/sharepoint/v3/contenttype/forms"/>
  </ds:schemaRefs>
</ds:datastoreItem>
</file>

<file path=customXml/itemProps3.xml><?xml version="1.0" encoding="utf-8"?>
<ds:datastoreItem xmlns:ds="http://schemas.openxmlformats.org/officeDocument/2006/customXml" ds:itemID="{E01C5A5E-919B-408B-ADAC-6343384FB1C4}">
  <ds:schemaRefs>
    <ds:schemaRef ds:uri="http://schemas.microsoft.com/office/2006/metadata/longProperties"/>
  </ds:schemaRefs>
</ds:datastoreItem>
</file>

<file path=customXml/itemProps4.xml><?xml version="1.0" encoding="utf-8"?>
<ds:datastoreItem xmlns:ds="http://schemas.openxmlformats.org/officeDocument/2006/customXml" ds:itemID="{0819D13C-3137-4742-A01B-627E538C1646}">
  <ds:schemaRefs>
    <ds:schemaRef ds:uri="http://schemas.microsoft.com/sharepoint/events"/>
  </ds:schemaRefs>
</ds:datastoreItem>
</file>

<file path=customXml/itemProps5.xml><?xml version="1.0" encoding="utf-8"?>
<ds:datastoreItem xmlns:ds="http://schemas.openxmlformats.org/officeDocument/2006/customXml" ds:itemID="{3BEFAA51-5A6C-4681-A651-5091D5110325}">
  <ds:schemaRefs>
    <ds:schemaRef ds:uri="http://purl.org/dc/elements/1.1/"/>
    <ds:schemaRef ds:uri="http://schemas.microsoft.com/office/2006/metadata/properties"/>
    <ds:schemaRef ds:uri="http://schemas.openxmlformats.org/package/2006/metadata/core-properties"/>
    <ds:schemaRef ds:uri="e497b1db-a13e-4ee7-9197-b96be736c43f"/>
    <ds:schemaRef ds:uri="http://schemas.microsoft.com/office/2006/documentManagement/types"/>
    <ds:schemaRef ds:uri="http://purl.org/dc/dcmitype/"/>
    <ds:schemaRef ds:uri="http://schemas.microsoft.com/sharepoint/v3"/>
    <ds:schemaRef ds:uri="http://schemas.microsoft.com/office/infopath/2007/PartnerControls"/>
    <ds:schemaRef ds:uri="http://www.w3.org/XML/1998/namespace"/>
    <ds:schemaRef ds:uri="http://purl.org/dc/terms/"/>
  </ds:schemaRefs>
</ds:datastoreItem>
</file>

<file path=customXml/itemProps6.xml><?xml version="1.0" encoding="utf-8"?>
<ds:datastoreItem xmlns:ds="http://schemas.openxmlformats.org/officeDocument/2006/customXml" ds:itemID="{DB9ABF7A-549C-450F-8294-A405EEEE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5862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RP-503 - TEMPLATE PROTOCOL</vt:lpstr>
    </vt:vector>
  </TitlesOfParts>
  <Manager>Huron Consulting Group, Inc.</Manager>
  <Company>Huron Consulting Group, Inc.</Company>
  <LinksUpToDate>false</LinksUpToDate>
  <CharactersWithSpaces>6967</CharactersWithSpaces>
  <SharedDoc>false</SharedDoc>
  <HLinks>
    <vt:vector size="108" baseType="variant">
      <vt:variant>
        <vt:i4>1638450</vt:i4>
      </vt:variant>
      <vt:variant>
        <vt:i4>104</vt:i4>
      </vt:variant>
      <vt:variant>
        <vt:i4>0</vt:i4>
      </vt:variant>
      <vt:variant>
        <vt:i4>5</vt:i4>
      </vt:variant>
      <vt:variant>
        <vt:lpwstr/>
      </vt:variant>
      <vt:variant>
        <vt:lpwstr>_Toc367409659</vt:lpwstr>
      </vt:variant>
      <vt:variant>
        <vt:i4>1638450</vt:i4>
      </vt:variant>
      <vt:variant>
        <vt:i4>98</vt:i4>
      </vt:variant>
      <vt:variant>
        <vt:i4>0</vt:i4>
      </vt:variant>
      <vt:variant>
        <vt:i4>5</vt:i4>
      </vt:variant>
      <vt:variant>
        <vt:lpwstr/>
      </vt:variant>
      <vt:variant>
        <vt:lpwstr>_Toc367409658</vt:lpwstr>
      </vt:variant>
      <vt:variant>
        <vt:i4>1638450</vt:i4>
      </vt:variant>
      <vt:variant>
        <vt:i4>92</vt:i4>
      </vt:variant>
      <vt:variant>
        <vt:i4>0</vt:i4>
      </vt:variant>
      <vt:variant>
        <vt:i4>5</vt:i4>
      </vt:variant>
      <vt:variant>
        <vt:lpwstr/>
      </vt:variant>
      <vt:variant>
        <vt:lpwstr>_Toc367409657</vt:lpwstr>
      </vt:variant>
      <vt:variant>
        <vt:i4>1638450</vt:i4>
      </vt:variant>
      <vt:variant>
        <vt:i4>86</vt:i4>
      </vt:variant>
      <vt:variant>
        <vt:i4>0</vt:i4>
      </vt:variant>
      <vt:variant>
        <vt:i4>5</vt:i4>
      </vt:variant>
      <vt:variant>
        <vt:lpwstr/>
      </vt:variant>
      <vt:variant>
        <vt:lpwstr>_Toc367409656</vt:lpwstr>
      </vt:variant>
      <vt:variant>
        <vt:i4>1638450</vt:i4>
      </vt:variant>
      <vt:variant>
        <vt:i4>80</vt:i4>
      </vt:variant>
      <vt:variant>
        <vt:i4>0</vt:i4>
      </vt:variant>
      <vt:variant>
        <vt:i4>5</vt:i4>
      </vt:variant>
      <vt:variant>
        <vt:lpwstr/>
      </vt:variant>
      <vt:variant>
        <vt:lpwstr>_Toc367409655</vt:lpwstr>
      </vt:variant>
      <vt:variant>
        <vt:i4>1638450</vt:i4>
      </vt:variant>
      <vt:variant>
        <vt:i4>74</vt:i4>
      </vt:variant>
      <vt:variant>
        <vt:i4>0</vt:i4>
      </vt:variant>
      <vt:variant>
        <vt:i4>5</vt:i4>
      </vt:variant>
      <vt:variant>
        <vt:lpwstr/>
      </vt:variant>
      <vt:variant>
        <vt:lpwstr>_Toc367409654</vt:lpwstr>
      </vt:variant>
      <vt:variant>
        <vt:i4>1638450</vt:i4>
      </vt:variant>
      <vt:variant>
        <vt:i4>68</vt:i4>
      </vt:variant>
      <vt:variant>
        <vt:i4>0</vt:i4>
      </vt:variant>
      <vt:variant>
        <vt:i4>5</vt:i4>
      </vt:variant>
      <vt:variant>
        <vt:lpwstr/>
      </vt:variant>
      <vt:variant>
        <vt:lpwstr>_Toc367409653</vt:lpwstr>
      </vt:variant>
      <vt:variant>
        <vt:i4>1638450</vt:i4>
      </vt:variant>
      <vt:variant>
        <vt:i4>62</vt:i4>
      </vt:variant>
      <vt:variant>
        <vt:i4>0</vt:i4>
      </vt:variant>
      <vt:variant>
        <vt:i4>5</vt:i4>
      </vt:variant>
      <vt:variant>
        <vt:lpwstr/>
      </vt:variant>
      <vt:variant>
        <vt:lpwstr>_Toc367409652</vt:lpwstr>
      </vt:variant>
      <vt:variant>
        <vt:i4>1638450</vt:i4>
      </vt:variant>
      <vt:variant>
        <vt:i4>56</vt:i4>
      </vt:variant>
      <vt:variant>
        <vt:i4>0</vt:i4>
      </vt:variant>
      <vt:variant>
        <vt:i4>5</vt:i4>
      </vt:variant>
      <vt:variant>
        <vt:lpwstr/>
      </vt:variant>
      <vt:variant>
        <vt:lpwstr>_Toc367409651</vt:lpwstr>
      </vt:variant>
      <vt:variant>
        <vt:i4>1638450</vt:i4>
      </vt:variant>
      <vt:variant>
        <vt:i4>50</vt:i4>
      </vt:variant>
      <vt:variant>
        <vt:i4>0</vt:i4>
      </vt:variant>
      <vt:variant>
        <vt:i4>5</vt:i4>
      </vt:variant>
      <vt:variant>
        <vt:lpwstr/>
      </vt:variant>
      <vt:variant>
        <vt:lpwstr>_Toc367409650</vt:lpwstr>
      </vt:variant>
      <vt:variant>
        <vt:i4>1572914</vt:i4>
      </vt:variant>
      <vt:variant>
        <vt:i4>44</vt:i4>
      </vt:variant>
      <vt:variant>
        <vt:i4>0</vt:i4>
      </vt:variant>
      <vt:variant>
        <vt:i4>5</vt:i4>
      </vt:variant>
      <vt:variant>
        <vt:lpwstr/>
      </vt:variant>
      <vt:variant>
        <vt:lpwstr>_Toc367409649</vt:lpwstr>
      </vt:variant>
      <vt:variant>
        <vt:i4>1572914</vt:i4>
      </vt:variant>
      <vt:variant>
        <vt:i4>38</vt:i4>
      </vt:variant>
      <vt:variant>
        <vt:i4>0</vt:i4>
      </vt:variant>
      <vt:variant>
        <vt:i4>5</vt:i4>
      </vt:variant>
      <vt:variant>
        <vt:lpwstr/>
      </vt:variant>
      <vt:variant>
        <vt:lpwstr>_Toc367409648</vt:lpwstr>
      </vt:variant>
      <vt:variant>
        <vt:i4>1572914</vt:i4>
      </vt:variant>
      <vt:variant>
        <vt:i4>32</vt:i4>
      </vt:variant>
      <vt:variant>
        <vt:i4>0</vt:i4>
      </vt:variant>
      <vt:variant>
        <vt:i4>5</vt:i4>
      </vt:variant>
      <vt:variant>
        <vt:lpwstr/>
      </vt:variant>
      <vt:variant>
        <vt:lpwstr>_Toc367409647</vt:lpwstr>
      </vt:variant>
      <vt:variant>
        <vt:i4>1572914</vt:i4>
      </vt:variant>
      <vt:variant>
        <vt:i4>26</vt:i4>
      </vt:variant>
      <vt:variant>
        <vt:i4>0</vt:i4>
      </vt:variant>
      <vt:variant>
        <vt:i4>5</vt:i4>
      </vt:variant>
      <vt:variant>
        <vt:lpwstr/>
      </vt:variant>
      <vt:variant>
        <vt:lpwstr>_Toc367409646</vt:lpwstr>
      </vt:variant>
      <vt:variant>
        <vt:i4>1572914</vt:i4>
      </vt:variant>
      <vt:variant>
        <vt:i4>20</vt:i4>
      </vt:variant>
      <vt:variant>
        <vt:i4>0</vt:i4>
      </vt:variant>
      <vt:variant>
        <vt:i4>5</vt:i4>
      </vt:variant>
      <vt:variant>
        <vt:lpwstr/>
      </vt:variant>
      <vt:variant>
        <vt:lpwstr>_Toc367409645</vt:lpwstr>
      </vt:variant>
      <vt:variant>
        <vt:i4>1572914</vt:i4>
      </vt:variant>
      <vt:variant>
        <vt:i4>14</vt:i4>
      </vt:variant>
      <vt:variant>
        <vt:i4>0</vt:i4>
      </vt:variant>
      <vt:variant>
        <vt:i4>5</vt:i4>
      </vt:variant>
      <vt:variant>
        <vt:lpwstr/>
      </vt:variant>
      <vt:variant>
        <vt:lpwstr>_Toc367409644</vt:lpwstr>
      </vt:variant>
      <vt:variant>
        <vt:i4>1572914</vt:i4>
      </vt:variant>
      <vt:variant>
        <vt:i4>8</vt:i4>
      </vt:variant>
      <vt:variant>
        <vt:i4>0</vt:i4>
      </vt:variant>
      <vt:variant>
        <vt:i4>5</vt:i4>
      </vt:variant>
      <vt:variant>
        <vt:lpwstr/>
      </vt:variant>
      <vt:variant>
        <vt:lpwstr>_Toc367409643</vt:lpwstr>
      </vt:variant>
      <vt:variant>
        <vt:i4>1572914</vt:i4>
      </vt:variant>
      <vt:variant>
        <vt:i4>2</vt:i4>
      </vt:variant>
      <vt:variant>
        <vt:i4>0</vt:i4>
      </vt:variant>
      <vt:variant>
        <vt:i4>5</vt:i4>
      </vt:variant>
      <vt:variant>
        <vt:lpwstr/>
      </vt:variant>
      <vt:variant>
        <vt:lpwstr>_Toc367409642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RP-503 - TEMPLATE PROTOCOL</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Karalus, Richard</cp:lastModifiedBy>
  <cp:revision>2</cp:revision>
  <cp:lastPrinted>2010-09-10T16:56:00Z</cp:lastPrinted>
  <dcterms:created xsi:type="dcterms:W3CDTF">2023-11-14T19:53:00Z</dcterms:created>
  <dcterms:modified xsi:type="dcterms:W3CDTF">2023-11-14T19:53:00Z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ZZ3N2KNH64PS-1493-290</vt:lpwstr>
  </property>
  <property fmtid="{D5CDD505-2E9C-101B-9397-08002B2CF9AE}" pid="3" name="_dlc_DocIdItemGuid">
    <vt:lpwstr>5fd4ff68-d4b5-4a16-b639-01762db686ce</vt:lpwstr>
  </property>
  <property fmtid="{D5CDD505-2E9C-101B-9397-08002B2CF9AE}" pid="4" name="_dlc_DocIdUrl">
    <vt:lpwstr>https://omega.huronconsultinggroup.com/hec/hels/meth/lsas/hrpp/_layouts/DocIdRedir.aspx?ID=ZZ3N2KNH64PS-1493-290, ZZ3N2KNH64PS-1493-290</vt:lpwstr>
  </property>
</Properties>
</file>